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51A5F984" w:rsidR="00CD51A3" w:rsidRPr="00E70A73" w:rsidRDefault="00CD51A3" w:rsidP="00E70A73">
      <w:pPr>
        <w:tabs>
          <w:tab w:val="left" w:pos="1985"/>
        </w:tabs>
        <w:spacing w:after="60"/>
        <w:rPr>
          <w:rFonts w:ascii="Arial" w:hAnsi="Arial" w:cs="Arial"/>
          <w:b/>
          <w:bCs/>
          <w:noProof/>
          <w:sz w:val="24"/>
          <w:szCs w:val="26"/>
        </w:rPr>
      </w:pPr>
      <w:bookmarkStart w:id="0" w:name="_Hlk78207062"/>
      <w:r w:rsidRPr="00E70A73">
        <w:rPr>
          <w:rFonts w:ascii="Arial" w:hAnsi="Arial" w:cs="Arial"/>
          <w:b/>
          <w:bCs/>
          <w:noProof/>
          <w:sz w:val="24"/>
          <w:szCs w:val="26"/>
        </w:rPr>
        <w:t>3GPP TSG-RAN WG1 #124</w:t>
      </w:r>
      <w:bookmarkStart w:id="1" w:name="_Hlk220054191"/>
      <w:r w:rsidR="00C842E2" w:rsidRPr="00E70A73">
        <w:rPr>
          <w:rFonts w:ascii="Arial" w:hAnsi="Arial" w:cs="Arial"/>
          <w:b/>
          <w:bCs/>
          <w:noProof/>
          <w:sz w:val="24"/>
          <w:szCs w:val="26"/>
        </w:rPr>
        <w:t xml:space="preserve">                                               </w:t>
      </w:r>
      <w:bookmarkEnd w:id="1"/>
      <w:r w:rsidR="00F70E7E" w:rsidRPr="00E70A73">
        <w:rPr>
          <w:rFonts w:ascii="Arial" w:hAnsi="Arial" w:cs="Arial"/>
          <w:b/>
          <w:bCs/>
          <w:noProof/>
          <w:sz w:val="24"/>
          <w:szCs w:val="26"/>
        </w:rPr>
        <w:t>R1-2601007</w:t>
      </w:r>
    </w:p>
    <w:p w14:paraId="0DFF5431" w14:textId="19486F88" w:rsidR="00CD51A3" w:rsidRPr="008A20B1" w:rsidRDefault="0070110D" w:rsidP="00E70A73">
      <w:pPr>
        <w:tabs>
          <w:tab w:val="left" w:pos="1985"/>
        </w:tabs>
        <w:spacing w:after="240"/>
        <w:rPr>
          <w:rFonts w:ascii="Arial" w:hAnsi="Arial" w:cs="Arial"/>
          <w:b/>
          <w:bCs/>
          <w:noProof/>
          <w:sz w:val="24"/>
          <w:szCs w:val="26"/>
        </w:rPr>
      </w:pPr>
      <w:bookmarkStart w:id="2" w:name="_Hlk220054200"/>
      <w:r w:rsidRPr="008A20B1">
        <w:rPr>
          <w:rFonts w:ascii="Arial" w:hAnsi="Arial" w:cs="Arial"/>
          <w:b/>
          <w:bCs/>
          <w:noProof/>
          <w:sz w:val="24"/>
          <w:szCs w:val="26"/>
        </w:rPr>
        <w:t>Gothenburg</w:t>
      </w:r>
      <w:r w:rsidR="00CD51A3" w:rsidRPr="008A20B1">
        <w:rPr>
          <w:rFonts w:ascii="Arial" w:hAnsi="Arial" w:cs="Arial"/>
          <w:b/>
          <w:bCs/>
          <w:noProof/>
          <w:sz w:val="24"/>
          <w:szCs w:val="26"/>
        </w:rPr>
        <w:t xml:space="preserve">, Sweden, </w:t>
      </w:r>
      <w:r w:rsidR="00AB2E67" w:rsidRPr="008A20B1">
        <w:rPr>
          <w:rFonts w:ascii="Arial" w:hAnsi="Arial" w:cs="Arial"/>
          <w:b/>
          <w:bCs/>
          <w:noProof/>
          <w:sz w:val="24"/>
          <w:szCs w:val="26"/>
        </w:rPr>
        <w:t>Feb</w:t>
      </w:r>
      <w:r w:rsidR="00CD51A3" w:rsidRPr="008A20B1">
        <w:rPr>
          <w:rFonts w:ascii="Arial" w:hAnsi="Arial" w:cs="Arial"/>
          <w:b/>
          <w:bCs/>
          <w:noProof/>
          <w:sz w:val="24"/>
          <w:szCs w:val="26"/>
        </w:rPr>
        <w:t>. 9th–13th, 2026</w:t>
      </w:r>
      <w:bookmarkEnd w:id="2"/>
    </w:p>
    <w:bookmarkEnd w:id="0"/>
    <w:p w14:paraId="174DA1DD" w14:textId="77777777" w:rsidR="00CD51A3" w:rsidRPr="008530FC"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8530FC">
        <w:rPr>
          <w:rFonts w:ascii="Arial" w:hAnsi="Arial" w:cs="Arial"/>
          <w:bCs/>
          <w:sz w:val="24"/>
          <w:szCs w:val="26"/>
        </w:rPr>
        <w:t>10.5.2.2</w:t>
      </w:r>
    </w:p>
    <w:p w14:paraId="18474865" w14:textId="77777777" w:rsidR="00CD51A3" w:rsidRPr="008530FC" w:rsidRDefault="00CD51A3" w:rsidP="00E70A73">
      <w:pPr>
        <w:tabs>
          <w:tab w:val="left" w:pos="1860"/>
          <w:tab w:val="left" w:pos="3280"/>
        </w:tabs>
        <w:spacing w:after="60"/>
        <w:ind w:left="1841" w:hangingChars="767" w:hanging="1841"/>
        <w:rPr>
          <w:rFonts w:ascii="Arial" w:hAnsi="Arial" w:cs="Arial"/>
          <w:bCs/>
          <w:sz w:val="24"/>
          <w:szCs w:val="26"/>
        </w:rPr>
      </w:pPr>
      <w:r w:rsidRPr="008530FC">
        <w:rPr>
          <w:rFonts w:ascii="Arial" w:hAnsi="Arial" w:cs="Arial"/>
          <w:b/>
          <w:sz w:val="24"/>
          <w:szCs w:val="26"/>
        </w:rPr>
        <w:t>Source:</w:t>
      </w:r>
      <w:r w:rsidRPr="008530FC">
        <w:rPr>
          <w:rFonts w:ascii="Arial" w:hAnsi="Arial" w:cs="Arial"/>
          <w:bCs/>
          <w:sz w:val="24"/>
          <w:szCs w:val="26"/>
        </w:rPr>
        <w:t xml:space="preserve"> </w:t>
      </w:r>
      <w:r w:rsidRPr="008530FC">
        <w:rPr>
          <w:rFonts w:ascii="Arial" w:hAnsi="Arial" w:cs="Arial"/>
          <w:bCs/>
          <w:sz w:val="24"/>
          <w:szCs w:val="26"/>
        </w:rPr>
        <w:tab/>
        <w:t>ETRI</w:t>
      </w:r>
    </w:p>
    <w:p w14:paraId="01B10B82" w14:textId="56FB3403"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bookmarkStart w:id="3" w:name="_Hlk23925924"/>
      <w:r w:rsidRPr="008530FC">
        <w:rPr>
          <w:rFonts w:ascii="Arial" w:hAnsi="Arial" w:cs="Arial"/>
          <w:b/>
          <w:sz w:val="24"/>
          <w:szCs w:val="26"/>
        </w:rPr>
        <w:t>Title:</w:t>
      </w:r>
      <w:bookmarkStart w:id="4" w:name="Title"/>
      <w:bookmarkEnd w:id="4"/>
      <w:r w:rsidRPr="008530FC">
        <w:rPr>
          <w:rFonts w:ascii="Arial" w:hAnsi="Arial" w:cs="Arial"/>
          <w:bCs/>
          <w:sz w:val="24"/>
          <w:szCs w:val="26"/>
        </w:rPr>
        <w:tab/>
      </w:r>
      <w:r w:rsidR="007E52F6" w:rsidRPr="008530FC">
        <w:rPr>
          <w:rFonts w:ascii="Arial" w:hAnsi="Arial" w:cs="Arial" w:hint="eastAsia"/>
          <w:bCs/>
          <w:sz w:val="24"/>
          <w:szCs w:val="26"/>
        </w:rPr>
        <w:t>Discussion</w:t>
      </w:r>
      <w:r w:rsidRPr="008530FC">
        <w:rPr>
          <w:rFonts w:ascii="Arial" w:hAnsi="Arial" w:cs="Arial"/>
          <w:bCs/>
          <w:sz w:val="24"/>
          <w:szCs w:val="26"/>
        </w:rPr>
        <w:t xml:space="preserve"> on downlink transmission scheme(s) for downlink shared channels in 6GR</w:t>
      </w:r>
    </w:p>
    <w:bookmarkEnd w:id="3"/>
    <w:p w14:paraId="00133247" w14:textId="77777777"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E70A73">
      <w:pPr>
        <w:pStyle w:val="1"/>
      </w:pPr>
      <w:r>
        <w:rPr>
          <w:rFonts w:hint="eastAsia"/>
        </w:rPr>
        <w:t>Introduction</w:t>
      </w:r>
    </w:p>
    <w:p w14:paraId="46118AF1" w14:textId="6F623479" w:rsidR="0076546B" w:rsidRDefault="0076546B" w:rsidP="00E70A73">
      <w:r>
        <w:t xml:space="preserve">This contribution provides ETRI's initial views on downlink transmission scheme(s) for downlink shared channels in 6GR as per </w:t>
      </w:r>
      <w:r w:rsidR="005E49A7">
        <w:fldChar w:fldCharType="begin"/>
      </w:r>
      <w:r w:rsidR="005E49A7">
        <w:instrText xml:space="preserve"> REF _Ref220522767 \n \h </w:instrText>
      </w:r>
      <w:r w:rsidR="00E70A73">
        <w:instrText xml:space="preserve"> \* MERGEFORMAT </w:instrText>
      </w:r>
      <w:r w:rsidR="005E49A7">
        <w:fldChar w:fldCharType="separate"/>
      </w:r>
      <w:r w:rsidR="005E49A7">
        <w:t>[1]</w:t>
      </w:r>
      <w:r w:rsidR="005E49A7">
        <w:fldChar w:fldCharType="end"/>
      </w:r>
      <w:r>
        <w:t xml:space="preserve">, building on the generic design considerations for 6GR MIMO in our companion </w:t>
      </w:r>
      <w:proofErr w:type="spellStart"/>
      <w:r>
        <w:t>Tdoc</w:t>
      </w:r>
      <w:proofErr w:type="spellEnd"/>
      <w:r>
        <w:t xml:space="preserve"> </w:t>
      </w:r>
      <w:r w:rsidR="005E49A7">
        <w:fldChar w:fldCharType="begin"/>
      </w:r>
      <w:r w:rsidR="005E49A7">
        <w:instrText xml:space="preserve"> REF _Ref220522776 \n \h </w:instrText>
      </w:r>
      <w:r w:rsidR="00E70A73">
        <w:instrText xml:space="preserve"> \* MERGEFORMAT </w:instrText>
      </w:r>
      <w:r w:rsidR="005E49A7">
        <w:fldChar w:fldCharType="separate"/>
      </w:r>
      <w:r w:rsidR="005E49A7">
        <w:t>[2]</w:t>
      </w:r>
      <w:r w:rsidR="005E49A7">
        <w:fldChar w:fldCharType="end"/>
      </w:r>
      <w:r>
        <w:t>.</w:t>
      </w:r>
    </w:p>
    <w:p w14:paraId="27AA5C69" w14:textId="2583F23B" w:rsidR="00E566B6" w:rsidRDefault="00E566B6" w:rsidP="00E70A73">
      <w:r>
        <w:t xml:space="preserve">As noted by the RAN1 Chair in the Draft Agenda for RAN1#124 </w:t>
      </w:r>
      <w:r w:rsidR="005E49A7">
        <w:fldChar w:fldCharType="begin"/>
      </w:r>
      <w:r w:rsidR="005E49A7">
        <w:instrText xml:space="preserve"> REF _Ref220521335 \n \h </w:instrText>
      </w:r>
      <w:r w:rsidR="00E70A73">
        <w:instrText xml:space="preserve"> \* MERGEFORMAT </w:instrText>
      </w:r>
      <w:r w:rsidR="005E49A7">
        <w:fldChar w:fldCharType="separate"/>
      </w:r>
      <w:r w:rsidR="005E49A7">
        <w:t>[3]</w:t>
      </w:r>
      <w:r w:rsidR="005E49A7">
        <w:fldChar w:fldCharType="end"/>
      </w:r>
      <w:r>
        <w:t>, this agenda item is to cover the following:</w:t>
      </w:r>
    </w:p>
    <w:tbl>
      <w:tblPr>
        <w:tblStyle w:val="ac"/>
        <w:tblW w:w="0" w:type="auto"/>
        <w:tblLook w:val="04A0" w:firstRow="1" w:lastRow="0" w:firstColumn="1" w:lastColumn="0" w:noHBand="0" w:noVBand="1"/>
      </w:tblPr>
      <w:tblGrid>
        <w:gridCol w:w="10070"/>
      </w:tblGrid>
      <w:tr w:rsidR="00E566B6" w14:paraId="7871EC66" w14:textId="77777777" w:rsidTr="00BD6BAB">
        <w:tc>
          <w:tcPr>
            <w:tcW w:w="10070" w:type="dxa"/>
          </w:tcPr>
          <w:p w14:paraId="4DA7FD6A" w14:textId="14EC1227" w:rsidR="00E566B6" w:rsidRPr="008D56FD" w:rsidRDefault="00E566B6" w:rsidP="00E70A73">
            <w:pPr>
              <w:rPr>
                <w:rFonts w:ascii="Arial" w:hAnsi="Arial" w:cs="Arial"/>
                <w:b/>
                <w:bCs/>
                <w:i/>
                <w:iCs/>
              </w:rPr>
            </w:pPr>
            <w:r w:rsidRPr="008D56FD">
              <w:rPr>
                <w:rFonts w:ascii="Arial" w:hAnsi="Arial" w:cs="Arial"/>
                <w:b/>
                <w:bCs/>
                <w:i/>
                <w:iCs/>
              </w:rPr>
              <w:t>10.5.</w:t>
            </w:r>
            <w:r w:rsidR="00376635">
              <w:rPr>
                <w:rFonts w:ascii="Arial" w:hAnsi="Arial" w:cs="Arial" w:hint="eastAsia"/>
                <w:b/>
                <w:bCs/>
                <w:i/>
                <w:iCs/>
              </w:rPr>
              <w:t>2</w:t>
            </w:r>
            <w:r w:rsidRPr="008D56FD">
              <w:rPr>
                <w:rFonts w:ascii="Arial" w:hAnsi="Arial" w:cs="Arial"/>
                <w:b/>
                <w:bCs/>
                <w:i/>
                <w:iCs/>
              </w:rPr>
              <w:t>.</w:t>
            </w:r>
            <w:r w:rsidR="00376635">
              <w:rPr>
                <w:rFonts w:ascii="Arial" w:hAnsi="Arial" w:cs="Arial" w:hint="eastAsia"/>
                <w:b/>
                <w:bCs/>
                <w:i/>
                <w:iCs/>
              </w:rPr>
              <w:t>2</w:t>
            </w:r>
            <w:r w:rsidRPr="008D56FD">
              <w:rPr>
                <w:rFonts w:ascii="Arial" w:hAnsi="Arial" w:cs="Arial"/>
                <w:b/>
                <w:bCs/>
                <w:i/>
                <w:iCs/>
              </w:rPr>
              <w:tab/>
            </w:r>
            <w:r w:rsidR="00376635" w:rsidRPr="00376635">
              <w:rPr>
                <w:rFonts w:ascii="Arial" w:hAnsi="Arial" w:cs="Arial"/>
                <w:b/>
                <w:bCs/>
                <w:i/>
                <w:iCs/>
              </w:rPr>
              <w:t>Downlink transmission scheme(s) for downlink shared channels</w:t>
            </w:r>
          </w:p>
          <w:p w14:paraId="40B19A1C" w14:textId="4D84BC84" w:rsidR="00E566B6" w:rsidRPr="008D56FD" w:rsidRDefault="00376635" w:rsidP="00E70A73">
            <w:pPr>
              <w:rPr>
                <w:rFonts w:ascii="Times" w:hAnsi="Times" w:cs="Times"/>
              </w:rPr>
            </w:pPr>
            <w:r w:rsidRPr="00376635">
              <w:rPr>
                <w:rFonts w:ascii="Times" w:hAnsi="Times" w:cs="Times"/>
                <w:i/>
                <w:iCs/>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10FFAFBC" w14:textId="37BB5C50" w:rsidR="00CD51A3" w:rsidRPr="0076546B" w:rsidRDefault="00CD51A3" w:rsidP="00E70A73"/>
    <w:p w14:paraId="5064D895" w14:textId="2E7BBD64" w:rsidR="0077217A" w:rsidRDefault="0077217A" w:rsidP="00E70A73">
      <w:pPr>
        <w:pStyle w:val="1"/>
      </w:pPr>
      <w:r>
        <w:rPr>
          <w:rFonts w:hint="eastAsia"/>
          <w:lang w:eastAsia="zh-TW"/>
        </w:rPr>
        <w:t>Transmission scheme(s) for PDSCH</w:t>
      </w:r>
    </w:p>
    <w:p w14:paraId="4A8B7A82" w14:textId="51F0870B" w:rsidR="00673696" w:rsidRDefault="00BC49E1" w:rsidP="00E70A73">
      <w:r>
        <w:t xml:space="preserve">To achieve the target </w:t>
      </w:r>
      <w:r w:rsidR="00CB2A04">
        <w:rPr>
          <w:rFonts w:hint="eastAsia"/>
        </w:rPr>
        <w:t>SE</w:t>
      </w:r>
      <w:r>
        <w:t xml:space="preserve"> improvement of more than three times compared to IMT-2020, 6GR must support massive antenna configurations and high-order spatial multiplexing</w:t>
      </w:r>
      <w:r>
        <w:rPr>
          <w:rFonts w:hint="eastAsia"/>
        </w:rPr>
        <w:t xml:space="preserve"> </w:t>
      </w:r>
      <w:r>
        <w:fldChar w:fldCharType="begin"/>
      </w:r>
      <w:r>
        <w:instrText xml:space="preserve"> </w:instrText>
      </w:r>
      <w:r>
        <w:rPr>
          <w:rFonts w:hint="eastAsia"/>
        </w:rPr>
        <w:instrText>REF _Ref220522776 \n \h</w:instrText>
      </w:r>
      <w:r>
        <w:instrText xml:space="preserve"> </w:instrText>
      </w:r>
      <w:r w:rsidR="00E70A73">
        <w:instrText xml:space="preserve"> \* MERGEFORMAT </w:instrText>
      </w:r>
      <w:r>
        <w:fldChar w:fldCharType="separate"/>
      </w:r>
      <w:r>
        <w:t>[2]</w:t>
      </w:r>
      <w:r>
        <w:fldChar w:fldCharType="end"/>
      </w:r>
      <w:r>
        <w:t xml:space="preserve">. Building upon the design philosophy of NR, where a unified transmission framework ensured UE-transparency, 6GR aims to further consolidate its operation by supporting a single transmission mode based on </w:t>
      </w:r>
      <w:proofErr w:type="spellStart"/>
      <w:r>
        <w:t>precoded</w:t>
      </w:r>
      <w:proofErr w:type="spellEnd"/>
      <w:r>
        <w:t xml:space="preserve"> DMRS as the baseline for all PDSCH transmissions.</w:t>
      </w:r>
      <w:r>
        <w:rPr>
          <w:rFonts w:hint="eastAsia"/>
        </w:rPr>
        <w:t xml:space="preserve"> </w:t>
      </w:r>
      <w:r>
        <w:t xml:space="preserve">The adoption of </w:t>
      </w:r>
      <w:proofErr w:type="spellStart"/>
      <w:r>
        <w:t>precoded</w:t>
      </w:r>
      <w:proofErr w:type="spellEnd"/>
      <w:r>
        <w:t xml:space="preserve"> DMRS offers several critical advantages in the context of </w:t>
      </w:r>
      <w:r w:rsidR="00FC331F">
        <w:rPr>
          <w:rFonts w:hint="eastAsia"/>
        </w:rPr>
        <w:t>E-MIMO</w:t>
      </w:r>
      <w:r>
        <w:t>. First, it enables significant overhead reduction through dimensionality reduction; by applying the same linear precoding to both PDSCH and DMRS, the number of required DMRS ports is determined by the number of transmission layers rather than the total number of physical antenna ports. This efficiency is vital when scaling up to massive antenna arrays.</w:t>
      </w:r>
      <w:r>
        <w:rPr>
          <w:rFonts w:hint="eastAsia"/>
        </w:rPr>
        <w:t xml:space="preserve"> </w:t>
      </w:r>
      <w:r>
        <w:t xml:space="preserve">Second, </w:t>
      </w:r>
      <w:proofErr w:type="spellStart"/>
      <w:r>
        <w:t>precoded</w:t>
      </w:r>
      <w:proofErr w:type="spellEnd"/>
      <w:r>
        <w:t xml:space="preserve"> DMRS ensures high demodulation performance by minimizing the mismatch between the </w:t>
      </w:r>
      <w:r w:rsidR="00315883">
        <w:rPr>
          <w:rFonts w:hint="eastAsia"/>
        </w:rPr>
        <w:t>E2E</w:t>
      </w:r>
      <w:r>
        <w:t xml:space="preserve"> channels experienced by data symbols and reference signals. Since both the PDSCH and DMRS pass through the same RF analog chain and wireless propagation channel, any impairments or non-linearities originating from the transmitter and receiver RF front-ends are equally applied to both signals. This E2E channel consistency allows for more accurate channel estimation and compensates for RF-domain degradations, which are expected to be more pronounced in the higher frequency bands (e.g., </w:t>
      </w:r>
      <w:r w:rsidR="001B44EE">
        <w:rPr>
          <w:rFonts w:hint="eastAsia"/>
        </w:rPr>
        <w:t xml:space="preserve">around </w:t>
      </w:r>
      <w:r>
        <w:t xml:space="preserve">7 GHz or </w:t>
      </w:r>
      <w:r w:rsidR="001B44EE">
        <w:rPr>
          <w:rFonts w:hint="eastAsia"/>
        </w:rPr>
        <w:t>around 15 GHz</w:t>
      </w:r>
      <w:r>
        <w:t>) targeted for 6GR.</w:t>
      </w:r>
      <w:r>
        <w:rPr>
          <w:rFonts w:hint="eastAsia"/>
        </w:rPr>
        <w:t xml:space="preserve"> </w:t>
      </w:r>
      <w:r>
        <w:t xml:space="preserve">To fully exploit these advantages while supporting high-resolution beamforming, the 6GR framework should be designed to accommodate increased spatial degrees of freedom. </w:t>
      </w:r>
      <w:r w:rsidR="007A251A" w:rsidRPr="007A251A">
        <w:t xml:space="preserve">Accordingly, the system must support up to </w:t>
      </w:r>
      <w:r w:rsidR="007A251A">
        <w:rPr>
          <w:rFonts w:hint="eastAsia"/>
        </w:rPr>
        <w:t xml:space="preserve">256 (or </w:t>
      </w:r>
      <w:r w:rsidR="007A251A" w:rsidRPr="007A251A">
        <w:t>512</w:t>
      </w:r>
      <w:r w:rsidR="007A251A">
        <w:rPr>
          <w:rFonts w:hint="eastAsia"/>
        </w:rPr>
        <w:t>)</w:t>
      </w:r>
      <w:r w:rsidR="007A251A" w:rsidRPr="007A251A">
        <w:t xml:space="preserve"> CSI-RS ports (or SRS Rx ports), providing the network with high-precision channel </w:t>
      </w:r>
      <w:r w:rsidR="007A251A">
        <w:rPr>
          <w:rFonts w:hint="eastAsia"/>
        </w:rPr>
        <w:t xml:space="preserve">state </w:t>
      </w:r>
      <w:r w:rsidR="007A251A" w:rsidRPr="007A251A">
        <w:t xml:space="preserve">information to optimize the precoders for the underlying </w:t>
      </w:r>
      <w:r w:rsidR="007A251A">
        <w:rPr>
          <w:rFonts w:hint="eastAsia"/>
        </w:rPr>
        <w:t xml:space="preserve">up to </w:t>
      </w:r>
      <w:r w:rsidR="007A251A" w:rsidRPr="007A251A">
        <w:t>2048 antenna elements.</w:t>
      </w:r>
    </w:p>
    <w:p w14:paraId="24E55932" w14:textId="0DABC4FF" w:rsidR="00AB2E67" w:rsidRPr="00AB2E67" w:rsidRDefault="00AB2E67" w:rsidP="00E70A73">
      <w:pPr>
        <w:rPr>
          <w:b/>
          <w:bCs/>
        </w:rPr>
      </w:pPr>
      <w:r w:rsidRPr="00AB2E67">
        <w:rPr>
          <w:b/>
          <w:bCs/>
        </w:rPr>
        <w:t xml:space="preserve">Proposal 1: Support a single transmission mode based on </w:t>
      </w:r>
      <w:proofErr w:type="spellStart"/>
      <w:r w:rsidRPr="00AB2E67">
        <w:rPr>
          <w:b/>
          <w:bCs/>
        </w:rPr>
        <w:t>precoded</w:t>
      </w:r>
      <w:proofErr w:type="spellEnd"/>
      <w:r w:rsidRPr="00AB2E67">
        <w:rPr>
          <w:b/>
          <w:bCs/>
        </w:rPr>
        <w:t xml:space="preserve"> DMRS for PDSCH transmission in 6GR.</w:t>
      </w:r>
    </w:p>
    <w:p w14:paraId="0D9B8BAA" w14:textId="52A0B2EC" w:rsidR="00AB2E67" w:rsidRPr="00AB2E67" w:rsidRDefault="00AB2E67" w:rsidP="00E70A73">
      <w:pPr>
        <w:rPr>
          <w:b/>
          <w:bCs/>
        </w:rPr>
      </w:pPr>
      <w:r w:rsidRPr="00AB2E67">
        <w:rPr>
          <w:b/>
          <w:bCs/>
        </w:rPr>
        <w:t xml:space="preserve">Proposal 2: </w:t>
      </w:r>
      <w:r w:rsidR="00DF537A">
        <w:rPr>
          <w:rFonts w:hint="eastAsia"/>
          <w:b/>
          <w:bCs/>
        </w:rPr>
        <w:t>Consider</w:t>
      </w:r>
      <w:r w:rsidRPr="00AB2E67">
        <w:rPr>
          <w:b/>
          <w:bCs/>
        </w:rPr>
        <w:t xml:space="preserve"> up to </w:t>
      </w:r>
      <w:r w:rsidR="00BC49E1">
        <w:rPr>
          <w:rFonts w:hint="eastAsia"/>
          <w:b/>
          <w:bCs/>
        </w:rPr>
        <w:t xml:space="preserve">256 (or </w:t>
      </w:r>
      <w:r w:rsidRPr="00AB2E67">
        <w:rPr>
          <w:b/>
          <w:bCs/>
        </w:rPr>
        <w:t>512</w:t>
      </w:r>
      <w:r w:rsidR="00BC49E1">
        <w:rPr>
          <w:rFonts w:hint="eastAsia"/>
          <w:b/>
          <w:bCs/>
        </w:rPr>
        <w:t>)</w:t>
      </w:r>
      <w:r w:rsidRPr="00AB2E67">
        <w:rPr>
          <w:b/>
          <w:bCs/>
        </w:rPr>
        <w:t xml:space="preserve"> </w:t>
      </w:r>
      <w:r w:rsidR="00C956D8">
        <w:rPr>
          <w:rFonts w:hint="eastAsia"/>
          <w:b/>
          <w:bCs/>
        </w:rPr>
        <w:t xml:space="preserve">logical </w:t>
      </w:r>
      <w:r w:rsidR="00DF537A">
        <w:rPr>
          <w:rFonts w:hint="eastAsia"/>
          <w:b/>
          <w:bCs/>
        </w:rPr>
        <w:t>antenna</w:t>
      </w:r>
      <w:r w:rsidRPr="00AB2E67">
        <w:rPr>
          <w:b/>
          <w:bCs/>
        </w:rPr>
        <w:t xml:space="preserve"> ports</w:t>
      </w:r>
      <w:r w:rsidR="00DF537A">
        <w:rPr>
          <w:rFonts w:hint="eastAsia"/>
          <w:b/>
          <w:bCs/>
        </w:rPr>
        <w:t xml:space="preserve"> </w:t>
      </w:r>
      <w:r w:rsidR="00C956D8">
        <w:rPr>
          <w:rFonts w:hint="eastAsia"/>
          <w:b/>
          <w:bCs/>
        </w:rPr>
        <w:t>onto</w:t>
      </w:r>
      <w:r w:rsidR="00C21383">
        <w:rPr>
          <w:rFonts w:hint="eastAsia"/>
          <w:b/>
          <w:bCs/>
        </w:rPr>
        <w:t xml:space="preserve"> </w:t>
      </w:r>
      <w:r w:rsidR="00C956D8">
        <w:rPr>
          <w:rFonts w:hint="eastAsia"/>
          <w:b/>
          <w:bCs/>
        </w:rPr>
        <w:t xml:space="preserve">which </w:t>
      </w:r>
      <w:r w:rsidR="00C21383">
        <w:rPr>
          <w:rFonts w:hint="eastAsia"/>
          <w:b/>
          <w:bCs/>
        </w:rPr>
        <w:t>PDSCH layers are mapped</w:t>
      </w:r>
      <w:r w:rsidR="004B5C10">
        <w:rPr>
          <w:rFonts w:hint="eastAsia"/>
          <w:b/>
          <w:bCs/>
        </w:rPr>
        <w:t xml:space="preserve"> in 6GR</w:t>
      </w:r>
      <w:r w:rsidRPr="00AB2E67">
        <w:rPr>
          <w:b/>
          <w:bCs/>
        </w:rPr>
        <w:t>.</w:t>
      </w:r>
    </w:p>
    <w:p w14:paraId="3E8846EC" w14:textId="77777777" w:rsidR="00410947" w:rsidRPr="00877272" w:rsidRDefault="00410947" w:rsidP="00E70A73"/>
    <w:p w14:paraId="0F560E6B" w14:textId="309DBE10" w:rsidR="00410947" w:rsidRDefault="00410947" w:rsidP="00E70A73">
      <w:r>
        <w:lastRenderedPageBreak/>
        <w:t xml:space="preserve">While 6GR targets overall system capacity, enhancing the peak data rate for individual high-demand UEs through advanced SU-MIMO is a primary objective. 6GR extends SU-MIMO capabilities beyond NR limits, particularly for high-capability device categories such as FWA CPEs, robotic devices, and vehicular devices. These devices, characterized by larger physical apertures and </w:t>
      </w:r>
      <w:r w:rsidR="006C676B">
        <w:rPr>
          <w:rFonts w:hint="eastAsia"/>
        </w:rPr>
        <w:t>advanced</w:t>
      </w:r>
      <w:r>
        <w:t xml:space="preserve"> antenna architectures, require support for higher spatial degrees of freedom to enable ultra-high-speed and mission-critical applications. For these high-tier device categories, the 6GR framework should support up to 12 or 16 layers </w:t>
      </w:r>
      <w:r w:rsidR="009C6FEB">
        <w:rPr>
          <w:rFonts w:hint="eastAsia"/>
        </w:rPr>
        <w:t xml:space="preserve">(or PDSCH/DMRS ports) </w:t>
      </w:r>
      <w:r>
        <w:t>for PDSCH transmission.</w:t>
      </w:r>
      <w:r w:rsidR="00A139CB">
        <w:rPr>
          <w:rFonts w:hint="eastAsia"/>
        </w:rPr>
        <w:t xml:space="preserve"> </w:t>
      </w:r>
      <w:r>
        <w:t>In contrast, for standard handheld devices, 6GR aims to maintain a layer configuration consistent with NR to balance power consumption and hardware complexity. To achieve the best performance-to-complexity tradeoff across all device types, up to two codewords should be supported for SU-MIMO. Within this tiered framework, the system provides a baseline for conventional handheld devices while enabling the maximum 12 or 16 layers exclusively for the aforementioned high-tier device categories to fully exploit their enhanced hardware capabilities.</w:t>
      </w:r>
    </w:p>
    <w:p w14:paraId="5F461BEF" w14:textId="2B7F60E8" w:rsidR="001C34CF" w:rsidRDefault="001C34CF" w:rsidP="00E70A73">
      <w:r w:rsidRPr="00AB2E67">
        <w:rPr>
          <w:b/>
          <w:bCs/>
        </w:rPr>
        <w:t xml:space="preserve">Proposal </w:t>
      </w:r>
      <w:r>
        <w:rPr>
          <w:rFonts w:hint="eastAsia"/>
          <w:b/>
          <w:bCs/>
        </w:rPr>
        <w:t>3</w:t>
      </w:r>
      <w:r w:rsidRPr="00AB2E67">
        <w:rPr>
          <w:b/>
          <w:bCs/>
        </w:rPr>
        <w:t>: Support up to 12 or 16 layers for PDSCH transmission using SU-MIMO</w:t>
      </w:r>
      <w:r w:rsidRPr="00A977D8">
        <w:rPr>
          <w:rFonts w:hint="eastAsia"/>
          <w:b/>
          <w:bCs/>
        </w:rPr>
        <w:t xml:space="preserve"> </w:t>
      </w:r>
      <w:r>
        <w:rPr>
          <w:rFonts w:hint="eastAsia"/>
          <w:b/>
          <w:bCs/>
        </w:rPr>
        <w:t>in 6GR</w:t>
      </w:r>
      <w:r w:rsidRPr="00AB2E67">
        <w:rPr>
          <w:b/>
          <w:bCs/>
        </w:rPr>
        <w:t>.</w:t>
      </w:r>
    </w:p>
    <w:p w14:paraId="6963957D" w14:textId="5B8975E4" w:rsidR="009F611D" w:rsidRPr="00AB2E67" w:rsidRDefault="009F611D" w:rsidP="00E70A73">
      <w:pPr>
        <w:rPr>
          <w:b/>
          <w:bCs/>
        </w:rPr>
      </w:pPr>
      <w:r w:rsidRPr="00AB2E67">
        <w:rPr>
          <w:b/>
          <w:bCs/>
        </w:rPr>
        <w:t xml:space="preserve">Proposal </w:t>
      </w:r>
      <w:r w:rsidR="001C34CF">
        <w:rPr>
          <w:rFonts w:hint="eastAsia"/>
          <w:b/>
          <w:bCs/>
        </w:rPr>
        <w:t>4</w:t>
      </w:r>
      <w:r w:rsidRPr="00AB2E67">
        <w:rPr>
          <w:b/>
          <w:bCs/>
        </w:rPr>
        <w:t>: Support up to two codewords for PDSCH transmission using SU-MIMO</w:t>
      </w:r>
      <w:r w:rsidR="00A977D8" w:rsidRPr="00A977D8">
        <w:rPr>
          <w:rFonts w:hint="eastAsia"/>
          <w:b/>
          <w:bCs/>
        </w:rPr>
        <w:t xml:space="preserve"> </w:t>
      </w:r>
      <w:r w:rsidR="00A977D8">
        <w:rPr>
          <w:rFonts w:hint="eastAsia"/>
          <w:b/>
          <w:bCs/>
        </w:rPr>
        <w:t>in 6GR</w:t>
      </w:r>
      <w:r w:rsidRPr="00AB2E67">
        <w:rPr>
          <w:b/>
          <w:bCs/>
        </w:rPr>
        <w:t>.</w:t>
      </w:r>
    </w:p>
    <w:p w14:paraId="79FDA5DA" w14:textId="1F457313" w:rsidR="00372F58" w:rsidRDefault="00372F58" w:rsidP="00E70A73">
      <w:r w:rsidRPr="00AB2E67">
        <w:rPr>
          <w:b/>
          <w:bCs/>
        </w:rPr>
        <w:t xml:space="preserve">Proposal </w:t>
      </w:r>
      <w:r w:rsidR="001C34CF">
        <w:rPr>
          <w:rFonts w:hint="eastAsia"/>
          <w:b/>
          <w:bCs/>
        </w:rPr>
        <w:t>5</w:t>
      </w:r>
      <w:r w:rsidRPr="00AB2E67">
        <w:rPr>
          <w:b/>
          <w:bCs/>
        </w:rPr>
        <w:t xml:space="preserve">: Support up to </w:t>
      </w:r>
      <w:r>
        <w:rPr>
          <w:rFonts w:hint="eastAsia"/>
          <w:b/>
          <w:bCs/>
        </w:rPr>
        <w:t xml:space="preserve">6 </w:t>
      </w:r>
      <w:r w:rsidRPr="00AB2E67">
        <w:rPr>
          <w:b/>
          <w:bCs/>
        </w:rPr>
        <w:t xml:space="preserve">or </w:t>
      </w:r>
      <w:r>
        <w:rPr>
          <w:rFonts w:hint="eastAsia"/>
          <w:b/>
          <w:bCs/>
        </w:rPr>
        <w:t>8</w:t>
      </w:r>
      <w:r w:rsidRPr="00AB2E67">
        <w:rPr>
          <w:b/>
          <w:bCs/>
        </w:rPr>
        <w:t xml:space="preserve"> layers </w:t>
      </w:r>
      <w:r w:rsidR="001C34CF">
        <w:rPr>
          <w:rFonts w:hint="eastAsia"/>
          <w:b/>
          <w:bCs/>
        </w:rPr>
        <w:t xml:space="preserve">per codeword </w:t>
      </w:r>
      <w:r w:rsidRPr="00AB2E67">
        <w:rPr>
          <w:b/>
          <w:bCs/>
        </w:rPr>
        <w:t>for PDSCH transmission using SU-MIMO</w:t>
      </w:r>
      <w:r w:rsidRPr="00A977D8">
        <w:rPr>
          <w:rFonts w:hint="eastAsia"/>
          <w:b/>
          <w:bCs/>
        </w:rPr>
        <w:t xml:space="preserve"> </w:t>
      </w:r>
      <w:r>
        <w:rPr>
          <w:rFonts w:hint="eastAsia"/>
          <w:b/>
          <w:bCs/>
        </w:rPr>
        <w:t>in 6GR</w:t>
      </w:r>
      <w:r w:rsidRPr="00AB2E67">
        <w:rPr>
          <w:b/>
          <w:bCs/>
        </w:rPr>
        <w:t>.</w:t>
      </w:r>
    </w:p>
    <w:p w14:paraId="4C06852F" w14:textId="77777777" w:rsidR="007A7EE5" w:rsidRPr="001C34CF" w:rsidRDefault="007A7EE5" w:rsidP="00E70A73"/>
    <w:p w14:paraId="7B113429" w14:textId="09BBE5C0" w:rsidR="0041358E" w:rsidRDefault="0041358E" w:rsidP="00E70A73">
      <w:r>
        <w:t xml:space="preserve">Building on the high-rank capabilities of individual UEs, high-order MU-MIMO serves as the engine for achieving extreme system-level spectral efficiency. To maximize multiplexing gain while maintaining manageable control signaling and UE receiver complexity, 6GR optimizes the MU-MIMO framework for large-scale scheduling. For PDSCH transmission using MU-MIMO, a single codeword per UE is supported to simplify link adaptation and HARQ processes, which is essential for managing a high volume of co-scheduled </w:t>
      </w:r>
      <w:r w:rsidR="001D00AC">
        <w:rPr>
          <w:rFonts w:hint="eastAsia"/>
        </w:rPr>
        <w:t>UE</w:t>
      </w:r>
      <w:r>
        <w:t>s.</w:t>
      </w:r>
      <w:r w:rsidR="0093152D">
        <w:rPr>
          <w:rFonts w:hint="eastAsia"/>
        </w:rPr>
        <w:t xml:space="preserve"> </w:t>
      </w:r>
      <w:r>
        <w:t xml:space="preserve">To support aggressive spatial reuse in dense environments, the system should be capable of multiplexing up to 64 layers (or </w:t>
      </w:r>
      <w:r w:rsidR="00B7532B">
        <w:rPr>
          <w:rFonts w:hint="eastAsia"/>
        </w:rPr>
        <w:t>PDSCH/</w:t>
      </w:r>
      <w:r>
        <w:t>DMRS ports) across the scheduled UEs. Within this massive MU-MIMO framework, the number of spatial layers allocated to an individual UE should be optimized to balance peak data rates with inter-</w:t>
      </w:r>
      <w:r w:rsidR="001D00AC">
        <w:rPr>
          <w:rFonts w:hint="eastAsia"/>
        </w:rPr>
        <w:t>UE</w:t>
      </w:r>
      <w:r>
        <w:t xml:space="preserve"> interference suppression; thus, up to 6 or 8 layers (or </w:t>
      </w:r>
      <w:r w:rsidR="00B7532B">
        <w:rPr>
          <w:rFonts w:hint="eastAsia"/>
        </w:rPr>
        <w:t>PDSCH/</w:t>
      </w:r>
      <w:r>
        <w:t xml:space="preserve">DMRS ports) per UE are supported. This ensures that the system can flexibly distribute its </w:t>
      </w:r>
      <w:r w:rsidR="00D45F00">
        <w:rPr>
          <w:rFonts w:hint="eastAsia"/>
        </w:rPr>
        <w:t>48/</w:t>
      </w:r>
      <w:r>
        <w:t xml:space="preserve">64-layer capacity among multiple </w:t>
      </w:r>
      <w:r w:rsidR="006A47EF">
        <w:rPr>
          <w:rFonts w:hint="eastAsia"/>
        </w:rPr>
        <w:t>high-tier</w:t>
      </w:r>
      <w:r>
        <w:t xml:space="preserve"> and standard </w:t>
      </w:r>
      <w:r w:rsidR="006A47EF">
        <w:rPr>
          <w:rFonts w:hint="eastAsia"/>
        </w:rPr>
        <w:t xml:space="preserve">handheld </w:t>
      </w:r>
      <w:r>
        <w:t>devices, maximizing the overall network throughput.</w:t>
      </w:r>
    </w:p>
    <w:p w14:paraId="58D383E3" w14:textId="0869BADD" w:rsidR="00D73DBF" w:rsidRDefault="00D73DBF" w:rsidP="00E70A73">
      <w:pPr>
        <w:rPr>
          <w:b/>
          <w:bCs/>
        </w:rPr>
      </w:pPr>
      <w:r w:rsidRPr="00AB2E67">
        <w:rPr>
          <w:b/>
          <w:bCs/>
        </w:rPr>
        <w:t xml:space="preserve">Proposal </w:t>
      </w:r>
      <w:r w:rsidR="0093097E">
        <w:rPr>
          <w:rFonts w:hint="eastAsia"/>
          <w:b/>
          <w:bCs/>
        </w:rPr>
        <w:t>6</w:t>
      </w:r>
      <w:r w:rsidRPr="00AB2E67">
        <w:rPr>
          <w:b/>
          <w:bCs/>
        </w:rPr>
        <w:t>: Support up to 64 layers for PDSCH transmission using MU-MIMO</w:t>
      </w:r>
      <w:r w:rsidR="002742E8">
        <w:rPr>
          <w:rFonts w:hint="eastAsia"/>
          <w:b/>
          <w:bCs/>
        </w:rPr>
        <w:t xml:space="preserve"> in 6GR</w:t>
      </w:r>
      <w:r w:rsidRPr="00AB2E67">
        <w:rPr>
          <w:b/>
          <w:bCs/>
        </w:rPr>
        <w:t>.</w:t>
      </w:r>
    </w:p>
    <w:p w14:paraId="54536DF3" w14:textId="2CB5BD97" w:rsidR="0093097E" w:rsidRDefault="0093097E" w:rsidP="00E70A73">
      <w:pPr>
        <w:rPr>
          <w:b/>
          <w:bCs/>
        </w:rPr>
      </w:pPr>
      <w:r w:rsidRPr="00AB2E67">
        <w:rPr>
          <w:b/>
          <w:bCs/>
        </w:rPr>
        <w:t xml:space="preserve">Proposal </w:t>
      </w:r>
      <w:r>
        <w:rPr>
          <w:rFonts w:hint="eastAsia"/>
          <w:b/>
          <w:bCs/>
        </w:rPr>
        <w:t>7</w:t>
      </w:r>
      <w:r w:rsidRPr="00AB2E67">
        <w:rPr>
          <w:b/>
          <w:bCs/>
        </w:rPr>
        <w:t>: Support a single codeword per UE for PDSCH transmission using MU-MIMO</w:t>
      </w:r>
      <w:r>
        <w:rPr>
          <w:rFonts w:hint="eastAsia"/>
          <w:b/>
          <w:bCs/>
        </w:rPr>
        <w:t xml:space="preserve"> in 6GR</w:t>
      </w:r>
      <w:r w:rsidRPr="00AB2E67">
        <w:rPr>
          <w:b/>
          <w:bCs/>
        </w:rPr>
        <w:t>.</w:t>
      </w:r>
    </w:p>
    <w:p w14:paraId="7AA05794" w14:textId="2ECE3801" w:rsidR="006D4515" w:rsidRDefault="006D4515" w:rsidP="00E70A73">
      <w:pPr>
        <w:rPr>
          <w:b/>
          <w:bCs/>
        </w:rPr>
      </w:pPr>
      <w:r w:rsidRPr="00AB2E67">
        <w:rPr>
          <w:b/>
          <w:bCs/>
        </w:rPr>
        <w:t xml:space="preserve">Proposal </w:t>
      </w:r>
      <w:r w:rsidR="0093097E">
        <w:rPr>
          <w:rFonts w:hint="eastAsia"/>
          <w:b/>
          <w:bCs/>
        </w:rPr>
        <w:t>8</w:t>
      </w:r>
      <w:r w:rsidRPr="00AB2E67">
        <w:rPr>
          <w:b/>
          <w:bCs/>
        </w:rPr>
        <w:t xml:space="preserve">: Support up to 6 or 8 layers per </w:t>
      </w:r>
      <w:r w:rsidR="00FF08D0">
        <w:rPr>
          <w:rFonts w:hint="eastAsia"/>
          <w:b/>
          <w:bCs/>
        </w:rPr>
        <w:t>UE</w:t>
      </w:r>
      <w:r w:rsidRPr="00AB2E67">
        <w:rPr>
          <w:b/>
          <w:bCs/>
        </w:rPr>
        <w:t xml:space="preserve"> for PDSCH transmission using </w:t>
      </w:r>
      <w:r>
        <w:rPr>
          <w:rFonts w:hint="eastAsia"/>
          <w:b/>
          <w:bCs/>
        </w:rPr>
        <w:t>M</w:t>
      </w:r>
      <w:r w:rsidRPr="00AB2E67">
        <w:rPr>
          <w:b/>
          <w:bCs/>
        </w:rPr>
        <w:t>U-MIMO</w:t>
      </w:r>
      <w:r w:rsidR="002742E8">
        <w:rPr>
          <w:rFonts w:hint="eastAsia"/>
          <w:b/>
          <w:bCs/>
        </w:rPr>
        <w:t xml:space="preserve"> in 6GR</w:t>
      </w:r>
      <w:r w:rsidRPr="00AB2E67">
        <w:rPr>
          <w:b/>
          <w:bCs/>
        </w:rPr>
        <w:t>.</w:t>
      </w:r>
    </w:p>
    <w:p w14:paraId="2349AA96" w14:textId="4471EBED" w:rsidR="00AB2E67" w:rsidRPr="00AB2E67" w:rsidRDefault="00AB2E67" w:rsidP="00E70A73">
      <w:pPr>
        <w:rPr>
          <w:b/>
          <w:bCs/>
        </w:rPr>
      </w:pPr>
    </w:p>
    <w:p w14:paraId="41C8F605" w14:textId="41876CF4" w:rsidR="00AB2E67" w:rsidRPr="00AB2E67" w:rsidRDefault="00AB2E67" w:rsidP="00E70A73">
      <w:pPr>
        <w:rPr>
          <w:b/>
          <w:bCs/>
        </w:rPr>
      </w:pPr>
      <w:proofErr w:type="spellStart"/>
      <w:r w:rsidRPr="00AB2E67">
        <w:rPr>
          <w:b/>
          <w:bCs/>
          <w:u w:val="single"/>
        </w:rPr>
        <w:t>mTRP</w:t>
      </w:r>
      <w:proofErr w:type="spellEnd"/>
      <w:r w:rsidRPr="00AB2E67">
        <w:rPr>
          <w:b/>
          <w:bCs/>
          <w:u w:val="single"/>
        </w:rPr>
        <w:t xml:space="preserve"> transmission</w:t>
      </w:r>
      <w:r w:rsidR="00FE197A">
        <w:rPr>
          <w:rFonts w:hint="eastAsia"/>
          <w:b/>
          <w:bCs/>
          <w:u w:val="single"/>
        </w:rPr>
        <w:t xml:space="preserve"> for PDSCH</w:t>
      </w:r>
      <w:r w:rsidRPr="00AB2E67">
        <w:rPr>
          <w:b/>
          <w:bCs/>
        </w:rPr>
        <w:t>:</w:t>
      </w:r>
    </w:p>
    <w:p w14:paraId="5592F69B" w14:textId="22CFDD94" w:rsidR="00AB2E67" w:rsidRDefault="001B428B" w:rsidP="00E70A73">
      <w:r>
        <w:t xml:space="preserve">To ensure robust connectivity and extended coverage, which are pivotal for the 6GR system requirements, the evolution of </w:t>
      </w:r>
      <w:proofErr w:type="spellStart"/>
      <w:r w:rsidR="00C65331">
        <w:rPr>
          <w:rFonts w:hint="eastAsia"/>
        </w:rPr>
        <w:t>mTRP</w:t>
      </w:r>
      <w:proofErr w:type="spellEnd"/>
      <w:r>
        <w:t xml:space="preserve"> transmission plays a critical role. In 6GR, the </w:t>
      </w:r>
      <w:proofErr w:type="spellStart"/>
      <w:r>
        <w:t>mTRP</w:t>
      </w:r>
      <w:proofErr w:type="spellEnd"/>
      <w:r>
        <w:t xml:space="preserve"> framework should not only address high-reliability communications but also be optimized to bridge the coverage gaps inherent in higher frequency deployments</w:t>
      </w:r>
      <w:r w:rsidR="00C65331">
        <w:rPr>
          <w:rFonts w:hint="eastAsia"/>
        </w:rPr>
        <w:t xml:space="preserve"> (e.g., </w:t>
      </w:r>
      <w:r w:rsidR="00F152AD">
        <w:rPr>
          <w:rFonts w:hint="eastAsia"/>
        </w:rPr>
        <w:t xml:space="preserve">around 7 GHz and 15 GHz in </w:t>
      </w:r>
      <w:r w:rsidR="00A5174A">
        <w:rPr>
          <w:rFonts w:hint="eastAsia"/>
        </w:rPr>
        <w:t xml:space="preserve">the </w:t>
      </w:r>
      <w:r w:rsidR="00C65331">
        <w:rPr>
          <w:rFonts w:hint="eastAsia"/>
        </w:rPr>
        <w:t>upper mid-band)</w:t>
      </w:r>
      <w:r>
        <w:t>.</w:t>
      </w:r>
      <w:r w:rsidR="00A5174A">
        <w:rPr>
          <w:rFonts w:hint="eastAsia"/>
        </w:rPr>
        <w:t xml:space="preserve"> </w:t>
      </w:r>
      <w:r>
        <w:t xml:space="preserve">To maintain backward compatibility and ensure a smooth transition from legacy systems, 6GR should reuse NR </w:t>
      </w:r>
      <w:proofErr w:type="spellStart"/>
      <w:r>
        <w:t>mTRP</w:t>
      </w:r>
      <w:proofErr w:type="spellEnd"/>
      <w:r>
        <w:t xml:space="preserve"> transmission schemes as a baseline. The proven mechanisms from NR, such as multi-DCI and single-DCI based </w:t>
      </w:r>
      <w:proofErr w:type="spellStart"/>
      <w:r>
        <w:t>mTRP</w:t>
      </w:r>
      <w:proofErr w:type="spellEnd"/>
      <w:r>
        <w:t xml:space="preserve"> operations, spatial multiplexing, and various repetition schemes, provide a solid foundation for initial 6GR deployments. These baseline schemes will allow the network to exploit spatial diversity across multiple transmission points effectively.</w:t>
      </w:r>
      <w:r w:rsidR="00A5174A">
        <w:rPr>
          <w:rFonts w:hint="eastAsia"/>
        </w:rPr>
        <w:t xml:space="preserve"> </w:t>
      </w:r>
      <w:r>
        <w:t xml:space="preserve">However, to meet the more stringent performance targets of 6G, 6GR must transition toward an </w:t>
      </w:r>
      <w:proofErr w:type="spellStart"/>
      <w:r>
        <w:t>mTRP</w:t>
      </w:r>
      <w:proofErr w:type="spellEnd"/>
      <w:r>
        <w:t xml:space="preserve">-native design. Unlike the incremental additions seen in previous generations, an </w:t>
      </w:r>
      <w:proofErr w:type="spellStart"/>
      <w:r>
        <w:t>mTRP</w:t>
      </w:r>
      <w:proofErr w:type="spellEnd"/>
      <w:r>
        <w:t xml:space="preserve">-native approach integrates multi-point coordination as an inherent feature of the physical layer design. This native design focuses on enhanced coverage, particularly in challenging propagation environments where a single TRP may suffer from </w:t>
      </w:r>
      <w:r>
        <w:lastRenderedPageBreak/>
        <w:t xml:space="preserve">significant path loss or blockage. By optimizing link adaptation, power control, and beam management specifically for multi-point scenarios, the 6GR </w:t>
      </w:r>
      <w:proofErr w:type="spellStart"/>
      <w:r>
        <w:t>mTRP</w:t>
      </w:r>
      <w:proofErr w:type="spellEnd"/>
      <w:r>
        <w:t xml:space="preserve"> framework will ensure seamless and ubiquitous connectivity across the entire network footprint.</w:t>
      </w:r>
    </w:p>
    <w:p w14:paraId="306FEB8E" w14:textId="77777777" w:rsidR="002249E3" w:rsidRPr="00AB2E67" w:rsidRDefault="002249E3" w:rsidP="00E70A73">
      <w:pPr>
        <w:rPr>
          <w:b/>
          <w:bCs/>
        </w:rPr>
      </w:pPr>
      <w:r w:rsidRPr="00AB2E67">
        <w:rPr>
          <w:b/>
          <w:bCs/>
        </w:rPr>
        <w:t>Proposal</w:t>
      </w:r>
      <w:r>
        <w:rPr>
          <w:rFonts w:hint="eastAsia"/>
          <w:b/>
          <w:bCs/>
        </w:rPr>
        <w:t xml:space="preserve"> 9</w:t>
      </w:r>
      <w:r w:rsidRPr="00AB2E67">
        <w:rPr>
          <w:b/>
          <w:bCs/>
        </w:rPr>
        <w:t xml:space="preserve">: Support </w:t>
      </w:r>
      <w:proofErr w:type="spellStart"/>
      <w:r w:rsidRPr="00AB2E67">
        <w:rPr>
          <w:b/>
          <w:bCs/>
        </w:rPr>
        <w:t>mTRP</w:t>
      </w:r>
      <w:proofErr w:type="spellEnd"/>
      <w:r w:rsidRPr="00AB2E67">
        <w:rPr>
          <w:b/>
          <w:bCs/>
        </w:rPr>
        <w:t>-native design for enhanced coverage in 6GR.</w:t>
      </w:r>
    </w:p>
    <w:p w14:paraId="0D8E3D50" w14:textId="50AC757C" w:rsidR="00AB2E67" w:rsidRDefault="002249E3" w:rsidP="00E70A73">
      <w:r w:rsidRPr="00AB2E67">
        <w:rPr>
          <w:b/>
          <w:bCs/>
        </w:rPr>
        <w:t xml:space="preserve">Proposal </w:t>
      </w:r>
      <w:r>
        <w:rPr>
          <w:rFonts w:hint="eastAsia"/>
          <w:b/>
          <w:bCs/>
        </w:rPr>
        <w:t>10</w:t>
      </w:r>
      <w:r w:rsidRPr="00AB2E67">
        <w:rPr>
          <w:b/>
          <w:bCs/>
        </w:rPr>
        <w:t xml:space="preserve">: Reuse NR </w:t>
      </w:r>
      <w:proofErr w:type="spellStart"/>
      <w:r w:rsidRPr="00AB2E67">
        <w:rPr>
          <w:b/>
          <w:bCs/>
        </w:rPr>
        <w:t>mTRP</w:t>
      </w:r>
      <w:proofErr w:type="spellEnd"/>
      <w:r w:rsidRPr="00AB2E67">
        <w:rPr>
          <w:b/>
          <w:bCs/>
        </w:rPr>
        <w:t xml:space="preserve"> transmission schemes as baseline</w:t>
      </w:r>
      <w:r>
        <w:rPr>
          <w:rFonts w:hint="eastAsia"/>
          <w:b/>
          <w:bCs/>
        </w:rPr>
        <w:t xml:space="preserve"> in 6GR</w:t>
      </w:r>
      <w:r w:rsidRPr="00AB2E67">
        <w:rPr>
          <w:b/>
          <w:bCs/>
        </w:rPr>
        <w:t>.</w:t>
      </w:r>
    </w:p>
    <w:p w14:paraId="4B2966B1" w14:textId="77777777" w:rsidR="00AB2E67" w:rsidRDefault="00AB2E67" w:rsidP="00E70A73"/>
    <w:p w14:paraId="0E556B25" w14:textId="2E345FC4" w:rsidR="00AB2E67" w:rsidRPr="00AB2E67" w:rsidRDefault="00AB2E67" w:rsidP="00E70A73">
      <w:pPr>
        <w:rPr>
          <w:b/>
          <w:bCs/>
        </w:rPr>
      </w:pPr>
      <w:r w:rsidRPr="00AB2E67">
        <w:rPr>
          <w:b/>
          <w:bCs/>
          <w:u w:val="single"/>
        </w:rPr>
        <w:t>SDM-based MRSS</w:t>
      </w:r>
      <w:r w:rsidR="00FE197A">
        <w:rPr>
          <w:rFonts w:hint="eastAsia"/>
          <w:b/>
          <w:bCs/>
          <w:u w:val="single"/>
        </w:rPr>
        <w:t xml:space="preserve"> for PDSCH</w:t>
      </w:r>
      <w:r w:rsidRPr="00AB2E67">
        <w:rPr>
          <w:b/>
          <w:bCs/>
        </w:rPr>
        <w:t>:</w:t>
      </w:r>
    </w:p>
    <w:p w14:paraId="7DFC31EB" w14:textId="20F0EB53" w:rsidR="00AB2E67" w:rsidRDefault="00E42AC3" w:rsidP="00E70A73">
      <w:r>
        <w:t>To ensure a seamless migration from NR to 6GR and foster successful market adoption, 6GR introduces MRSS as a core deployment strategy, moving beyond the Dual Connectivity (DC) or Non-Standalone (NSA) operations utilized in the early stages of NR. While TDM and FDM-based MRSS provide a baseline for coexistence, hard partitioning of time-frequency resources often leads to significant spectral underutilization, particularly as the traffic load balance between NR and 6GR UEs shifts dynamically in real-time.</w:t>
      </w:r>
      <w:r w:rsidR="00382B3A">
        <w:rPr>
          <w:rFonts w:hint="eastAsia"/>
        </w:rPr>
        <w:t xml:space="preserve"> </w:t>
      </w:r>
      <w:r>
        <w:t xml:space="preserve">To maximize system-level </w:t>
      </w:r>
      <w:r>
        <w:rPr>
          <w:rFonts w:hint="eastAsia"/>
        </w:rPr>
        <w:t>SE</w:t>
      </w:r>
      <w:r>
        <w:t xml:space="preserve"> under high traffic loads, it is essential to support SDM-based MRSS. This allows </w:t>
      </w:r>
      <w:r w:rsidR="00F9776E">
        <w:rPr>
          <w:rFonts w:hint="eastAsia"/>
        </w:rPr>
        <w:t>NW</w:t>
      </w:r>
      <w:r>
        <w:t xml:space="preserve"> to perform MU-MIMO scheduling across NR and 6GR UEs within the same resource blocks, enabling concurrent PDSCH and associated DMRS transmissions. By treating NR and 6GR UEs as a unified MU-MIMO group, the network can achieve much higher spatial multiplexing gains compared to legacy orthogonal </w:t>
      </w:r>
      <w:r w:rsidR="00382B3A">
        <w:rPr>
          <w:rFonts w:hint="eastAsia"/>
        </w:rPr>
        <w:t xml:space="preserve">time/frequency </w:t>
      </w:r>
      <w:r>
        <w:t>resource allocation.</w:t>
      </w:r>
    </w:p>
    <w:p w14:paraId="47517AB0" w14:textId="36443D9B" w:rsidR="00007F41" w:rsidRPr="00AB2E67" w:rsidRDefault="00007F41" w:rsidP="00E70A73">
      <w:pPr>
        <w:rPr>
          <w:b/>
          <w:bCs/>
        </w:rPr>
      </w:pPr>
      <w:r w:rsidRPr="00AB2E67">
        <w:rPr>
          <w:b/>
          <w:bCs/>
        </w:rPr>
        <w:t>Proposal 1</w:t>
      </w:r>
      <w:r w:rsidR="00717309">
        <w:rPr>
          <w:rFonts w:hint="eastAsia"/>
          <w:b/>
          <w:bCs/>
        </w:rPr>
        <w:t>1</w:t>
      </w:r>
      <w:r w:rsidRPr="00AB2E67">
        <w:rPr>
          <w:b/>
          <w:bCs/>
        </w:rPr>
        <w:t xml:space="preserve">: Support SDM-based MRSS for </w:t>
      </w:r>
      <w:r>
        <w:rPr>
          <w:rFonts w:hint="eastAsia"/>
          <w:b/>
          <w:bCs/>
        </w:rPr>
        <w:t>PDSCH and associated DMRS</w:t>
      </w:r>
      <w:r w:rsidRPr="00AB2E67">
        <w:rPr>
          <w:b/>
          <w:bCs/>
        </w:rPr>
        <w:t xml:space="preserve"> across NR and 6GR UEs</w:t>
      </w:r>
      <w:r>
        <w:rPr>
          <w:rFonts w:hint="eastAsia"/>
          <w:b/>
          <w:bCs/>
        </w:rPr>
        <w:t xml:space="preserve"> in 6GR</w:t>
      </w:r>
      <w:r w:rsidRPr="00AB2E67">
        <w:rPr>
          <w:b/>
          <w:bCs/>
        </w:rPr>
        <w:t>.</w:t>
      </w:r>
    </w:p>
    <w:p w14:paraId="71529D39" w14:textId="77777777" w:rsidR="00AB2E67" w:rsidRDefault="00AB2E67" w:rsidP="00E70A73"/>
    <w:p w14:paraId="60C4EF33" w14:textId="023B1C90" w:rsidR="00AB2E67" w:rsidRPr="00AB2E67" w:rsidRDefault="00AB2E67" w:rsidP="00E70A73">
      <w:pPr>
        <w:rPr>
          <w:b/>
          <w:bCs/>
        </w:rPr>
      </w:pPr>
      <w:r w:rsidRPr="00AB2E67">
        <w:rPr>
          <w:b/>
          <w:bCs/>
          <w:u w:val="single"/>
        </w:rPr>
        <w:t xml:space="preserve">PDSCH transmission over </w:t>
      </w:r>
      <w:r w:rsidR="00F06D92">
        <w:rPr>
          <w:rFonts w:hint="eastAsia"/>
          <w:b/>
          <w:bCs/>
          <w:u w:val="single"/>
        </w:rPr>
        <w:t>SCMC</w:t>
      </w:r>
      <w:r w:rsidRPr="00AB2E67">
        <w:rPr>
          <w:b/>
          <w:bCs/>
          <w:u w:val="single"/>
        </w:rPr>
        <w:t xml:space="preserve"> operation</w:t>
      </w:r>
      <w:r w:rsidRPr="00AB2E67">
        <w:rPr>
          <w:b/>
          <w:bCs/>
        </w:rPr>
        <w:t>:</w:t>
      </w:r>
    </w:p>
    <w:p w14:paraId="06461ECE" w14:textId="7195660E" w:rsidR="003F7280" w:rsidRDefault="00007BE8" w:rsidP="00E70A73">
      <w:r>
        <w:t xml:space="preserve">As 6G deployments are expected to utilize diverse frequency bands, including the fragmented spectrum in the upper mid-band, efficient resource management across </w:t>
      </w:r>
      <w:r w:rsidR="00710A66">
        <w:rPr>
          <w:rFonts w:hint="eastAsia"/>
        </w:rPr>
        <w:t>multiple</w:t>
      </w:r>
      <w:r>
        <w:t xml:space="preserve"> carriers becomes a critical challenge. In legacy systems, CA and DC have been used to combine multiple carriers, but these often involve higher signaling overhead and complex RRM due to the management of multiple serving cells.</w:t>
      </w:r>
      <w:r>
        <w:rPr>
          <w:rFonts w:hint="eastAsia"/>
        </w:rPr>
        <w:t xml:space="preserve"> </w:t>
      </w:r>
      <w:r>
        <w:t xml:space="preserve">To overcome these limitations, 6GR introduces the concept of Single-Cell Multi-Carrier (SCMC). Unlike conventional CA, SCMC treats physically separated carriers as a single logical cell. This architectural shift enables more agile and simplified resource allocation, particularly in scenarios where the spectrum is highly fragmented. It also </w:t>
      </w:r>
      <w:r>
        <w:rPr>
          <w:rFonts w:hint="eastAsia"/>
        </w:rPr>
        <w:t xml:space="preserve">has the potential to </w:t>
      </w:r>
      <w:r>
        <w:t xml:space="preserve">facilitate rapid carrier switching and state transitions without the latency of </w:t>
      </w:r>
      <w:proofErr w:type="spellStart"/>
      <w:r>
        <w:t>SCell</w:t>
      </w:r>
      <w:proofErr w:type="spellEnd"/>
      <w:r>
        <w:t xml:space="preserve"> activation/deactivation, which is beneficial for high-speed bursty traffic.</w:t>
      </w:r>
      <w:r w:rsidR="001A708B">
        <w:rPr>
          <w:rFonts w:hint="eastAsia"/>
        </w:rPr>
        <w:t xml:space="preserve"> </w:t>
      </w:r>
      <w:r>
        <w:t xml:space="preserve">Furthermore, SCMC can significantly reduce UE complexity and signaling overhead. By utilizing a single DCI to schedule PDSCH transmissions across multiple carriers within the same logical cell, building upon the multi-PDSCH scheduling framework introduced in Rel-17, 6GR can reduce the PDCCH monitoring burden on UE and lower the overall scheduling overhead for the network. This approach </w:t>
      </w:r>
      <w:r w:rsidR="004958BF">
        <w:rPr>
          <w:rFonts w:hint="eastAsia"/>
        </w:rPr>
        <w:t xml:space="preserve">is </w:t>
      </w:r>
      <w:r>
        <w:t xml:space="preserve">also </w:t>
      </w:r>
      <w:r w:rsidR="004958BF">
        <w:rPr>
          <w:rFonts w:hint="eastAsia"/>
        </w:rPr>
        <w:t xml:space="preserve">expected to </w:t>
      </w:r>
      <w:r>
        <w:t>eliminate the need for multiple MAC entities or complex cross-carrier scheduling configurations.</w:t>
      </w:r>
    </w:p>
    <w:p w14:paraId="46BB5E8A" w14:textId="6E9B63D9" w:rsidR="0077217A" w:rsidRPr="00AB2E67" w:rsidRDefault="00717309" w:rsidP="00E70A73">
      <w:pPr>
        <w:rPr>
          <w:b/>
          <w:bCs/>
        </w:rPr>
      </w:pPr>
      <w:r w:rsidRPr="00AB2E67">
        <w:rPr>
          <w:b/>
          <w:bCs/>
        </w:rPr>
        <w:t>Proposal 1</w:t>
      </w:r>
      <w:r>
        <w:rPr>
          <w:rFonts w:hint="eastAsia"/>
          <w:b/>
          <w:bCs/>
        </w:rPr>
        <w:t>2</w:t>
      </w:r>
      <w:r w:rsidRPr="00AB2E67">
        <w:rPr>
          <w:b/>
          <w:bCs/>
        </w:rPr>
        <w:t xml:space="preserve">: </w:t>
      </w:r>
      <w:r>
        <w:rPr>
          <w:rFonts w:hint="eastAsia"/>
          <w:b/>
          <w:bCs/>
        </w:rPr>
        <w:t>Study</w:t>
      </w:r>
      <w:r w:rsidRPr="00AB2E67">
        <w:rPr>
          <w:b/>
          <w:bCs/>
        </w:rPr>
        <w:t xml:space="preserve"> single-cell multi-carrier </w:t>
      </w:r>
      <w:r>
        <w:rPr>
          <w:rFonts w:hint="eastAsia"/>
          <w:b/>
          <w:bCs/>
        </w:rPr>
        <w:t xml:space="preserve">operation </w:t>
      </w:r>
      <w:r w:rsidRPr="00AB2E67">
        <w:rPr>
          <w:b/>
          <w:bCs/>
        </w:rPr>
        <w:t>for PDSCH</w:t>
      </w:r>
      <w:r>
        <w:rPr>
          <w:rFonts w:hint="eastAsia"/>
          <w:b/>
          <w:bCs/>
        </w:rPr>
        <w:t xml:space="preserve"> in 6GR</w:t>
      </w:r>
      <w:r w:rsidRPr="00AB2E67">
        <w:rPr>
          <w:b/>
          <w:bCs/>
        </w:rPr>
        <w:t>.</w:t>
      </w:r>
    </w:p>
    <w:p w14:paraId="6F0145BB" w14:textId="77777777" w:rsidR="0077217A" w:rsidRPr="0077217A" w:rsidRDefault="0077217A" w:rsidP="00E70A73"/>
    <w:p w14:paraId="6A023020" w14:textId="133DDBE2" w:rsidR="0077217A" w:rsidRDefault="0070110D" w:rsidP="00E70A73">
      <w:pPr>
        <w:pStyle w:val="1"/>
      </w:pPr>
      <w:r w:rsidRPr="0070110D">
        <w:t>Time/frequency resource allocation for PDSCH</w:t>
      </w:r>
    </w:p>
    <w:p w14:paraId="485F2ABF" w14:textId="77777777" w:rsidR="005359F2" w:rsidRDefault="005359F2" w:rsidP="00E70A73">
      <w:r>
        <w:t>To ensure backward compatibility and minimize design complexity, the fundamental resource allocation frameworks from NR should be utilized as the baseline for 6GR PDSCH transmission.</w:t>
      </w:r>
    </w:p>
    <w:p w14:paraId="0E7153BE" w14:textId="77777777" w:rsidR="005359F2" w:rsidRDefault="005359F2" w:rsidP="00E70A73">
      <w:r>
        <w:t xml:space="preserve">6GR aims to support diverse traffic types, ranging from ultra-reliable low-latency communications to high-throughput bursty data, by inheriting the flexible scheduling mechanisms of NR. The 6GR PDSCH can reuse the </w:t>
      </w:r>
      <w:r>
        <w:lastRenderedPageBreak/>
        <w:t>NR TDRA scheme to maintain consistency in slot-level and sub-slot level scheduling.</w:t>
      </w:r>
    </w:p>
    <w:p w14:paraId="043FE2C7" w14:textId="77777777" w:rsidR="005359F2" w:rsidRDefault="005359F2" w:rsidP="00E70A73">
      <w:pPr>
        <w:pStyle w:val="a6"/>
        <w:numPr>
          <w:ilvl w:val="0"/>
          <w:numId w:val="12"/>
        </w:numPr>
      </w:pPr>
      <w:r>
        <w:t>Mapping type: Both Mapping Type A (slot-based) and Type B (mini-slot based) can be reused to support different latency requirements.</w:t>
      </w:r>
    </w:p>
    <w:p w14:paraId="21EBACA9" w14:textId="77777777" w:rsidR="005359F2" w:rsidRDefault="005359F2" w:rsidP="00E70A73">
      <w:pPr>
        <w:pStyle w:val="a6"/>
        <w:numPr>
          <w:ilvl w:val="0"/>
          <w:numId w:val="12"/>
        </w:numPr>
      </w:pPr>
      <w:r>
        <w:t xml:space="preserve">Scheduling flexibility: The framework can support multi-slot, single-slot, and mini-slot based transmissions. Specifically, multi-slot operations can utilize </w:t>
      </w:r>
      <w:proofErr w:type="spellStart"/>
      <w:r>
        <w:t>PxSCH</w:t>
      </w:r>
      <w:proofErr w:type="spellEnd"/>
      <w:r>
        <w:t xml:space="preserve"> repetition and Transport Block over Multi-Slot (</w:t>
      </w:r>
      <w:proofErr w:type="spellStart"/>
      <w:r>
        <w:t>TBoMS</w:t>
      </w:r>
      <w:proofErr w:type="spellEnd"/>
      <w:r>
        <w:t>) mechanisms to enhance reliability and coverage.</w:t>
      </w:r>
    </w:p>
    <w:p w14:paraId="694B83FE" w14:textId="77777777" w:rsidR="005359F2" w:rsidRDefault="005359F2" w:rsidP="00E70A73">
      <w:pPr>
        <w:pStyle w:val="a6"/>
        <w:numPr>
          <w:ilvl w:val="0"/>
          <w:numId w:val="12"/>
        </w:numPr>
      </w:pPr>
      <w:r>
        <w:t>TDRA mechanism: The network indicates resource allocation through slot offset and SLIV, allowing for precise symbol-level mapping within the time domain.</w:t>
      </w:r>
    </w:p>
    <w:p w14:paraId="111394BF" w14:textId="77777777" w:rsidR="005359F2" w:rsidRDefault="005359F2" w:rsidP="00E70A73">
      <w:pPr>
        <w:pStyle w:val="a6"/>
        <w:numPr>
          <w:ilvl w:val="0"/>
          <w:numId w:val="12"/>
        </w:numPr>
      </w:pPr>
      <w:r>
        <w:t>Scheduling mode: Dynamic Grant (DG), Configured Grant (CG), and Semi-Persistent Scheduling (SPS) can be reused to facilitate efficient resource utilization for both periodic and sporadic traffic.</w:t>
      </w:r>
    </w:p>
    <w:p w14:paraId="369A4257" w14:textId="30D4D9FC" w:rsidR="005359F2" w:rsidRDefault="00B6566A" w:rsidP="00E70A73">
      <w:r w:rsidRPr="00B6566A">
        <w:t>To efficiently manage the spectrum in 6GR, the established FDRA mechanisms of NR can be adopted.</w:t>
      </w:r>
    </w:p>
    <w:p w14:paraId="56EFDC8B" w14:textId="77777777" w:rsidR="005359F2" w:rsidRDefault="005359F2" w:rsidP="00E70A73">
      <w:pPr>
        <w:pStyle w:val="a6"/>
        <w:numPr>
          <w:ilvl w:val="0"/>
          <w:numId w:val="13"/>
        </w:numPr>
      </w:pPr>
      <w:r>
        <w:t>Resource allocation type: Both Type 0 (bitmap-based RBG level allocation) and Type 1 (RIV-based contiguous RB allocation) can be reused to provide a balance between scheduling granularity and signaling overhead.</w:t>
      </w:r>
    </w:p>
    <w:p w14:paraId="4AECB1A3" w14:textId="77777777" w:rsidR="005359F2" w:rsidRDefault="005359F2" w:rsidP="00E70A73">
      <w:pPr>
        <w:pStyle w:val="a6"/>
        <w:numPr>
          <w:ilvl w:val="0"/>
          <w:numId w:val="13"/>
        </w:numPr>
      </w:pPr>
      <w:r>
        <w:t>Carrier/BWP indication: The use of carrier and BWP indicators can be maintained to allow for agile frequency-domain switching and multi-carrier operations.</w:t>
      </w:r>
    </w:p>
    <w:p w14:paraId="02CC0109" w14:textId="63291396" w:rsidR="00B6566A" w:rsidRDefault="00B6566A" w:rsidP="00E70A73">
      <w:pPr>
        <w:pStyle w:val="a6"/>
        <w:numPr>
          <w:ilvl w:val="1"/>
          <w:numId w:val="13"/>
        </w:numPr>
      </w:pPr>
      <w:r w:rsidRPr="00B6566A">
        <w:t>Further considerations for SCMC are discussed below</w:t>
      </w:r>
      <w:r>
        <w:rPr>
          <w:rFonts w:hint="eastAsia"/>
        </w:rPr>
        <w:t>.</w:t>
      </w:r>
    </w:p>
    <w:p w14:paraId="75679EB1" w14:textId="77777777" w:rsidR="005359F2" w:rsidRDefault="005359F2" w:rsidP="00E70A73">
      <w:pPr>
        <w:pStyle w:val="a6"/>
        <w:numPr>
          <w:ilvl w:val="0"/>
          <w:numId w:val="13"/>
        </w:numPr>
      </w:pPr>
      <w:r>
        <w:t>Physical resource mapping: VRB-to-PRB mapping can support both interleaved and non-interleaved modes to provide frequency diversity gains when necessary.</w:t>
      </w:r>
    </w:p>
    <w:p w14:paraId="233FDC65" w14:textId="77777777" w:rsidR="005359F2" w:rsidRDefault="005359F2" w:rsidP="00E70A73">
      <w:pPr>
        <w:pStyle w:val="a6"/>
        <w:numPr>
          <w:ilvl w:val="0"/>
          <w:numId w:val="13"/>
        </w:numPr>
      </w:pPr>
      <w:r>
        <w:t>PRB bundling: To support efficient channel estimation and precoding, PRB bundling sizes of {2, 4, wideband} can be supported, ensuring compatibility with advanced MIMO operations.</w:t>
      </w:r>
    </w:p>
    <w:p w14:paraId="5D35604F" w14:textId="6D9A2102" w:rsidR="00930D1F" w:rsidRDefault="00DB2AF0" w:rsidP="00E70A73">
      <w:r w:rsidRPr="0070110D">
        <w:rPr>
          <w:b/>
          <w:bCs/>
        </w:rPr>
        <w:t xml:space="preserve">Proposal </w:t>
      </w:r>
      <w:r>
        <w:rPr>
          <w:rFonts w:hint="eastAsia"/>
          <w:b/>
          <w:bCs/>
        </w:rPr>
        <w:t>13</w:t>
      </w:r>
      <w:r w:rsidRPr="0070110D">
        <w:rPr>
          <w:b/>
          <w:bCs/>
        </w:rPr>
        <w:t xml:space="preserve">: Reuse NR TDRA scheme for </w:t>
      </w:r>
      <w:r>
        <w:rPr>
          <w:rFonts w:hint="eastAsia"/>
          <w:b/>
          <w:bCs/>
        </w:rPr>
        <w:t xml:space="preserve">PDSCH in </w:t>
      </w:r>
      <w:r w:rsidRPr="0070110D">
        <w:rPr>
          <w:b/>
          <w:bCs/>
        </w:rPr>
        <w:t>6GR.</w:t>
      </w:r>
    </w:p>
    <w:p w14:paraId="1376DD7B" w14:textId="521B787F" w:rsidR="00B6566A" w:rsidRDefault="00DB2AF0" w:rsidP="00E70A73">
      <w:pPr>
        <w:rPr>
          <w:b/>
          <w:bCs/>
        </w:rPr>
      </w:pPr>
      <w:r w:rsidRPr="0070110D">
        <w:rPr>
          <w:b/>
          <w:bCs/>
        </w:rPr>
        <w:t xml:space="preserve">Proposal </w:t>
      </w:r>
      <w:r>
        <w:rPr>
          <w:rFonts w:hint="eastAsia"/>
          <w:b/>
          <w:bCs/>
        </w:rPr>
        <w:t>14</w:t>
      </w:r>
      <w:r w:rsidRPr="0070110D">
        <w:rPr>
          <w:b/>
          <w:bCs/>
        </w:rPr>
        <w:t xml:space="preserve">: Reuse NR </w:t>
      </w:r>
      <w:r>
        <w:rPr>
          <w:rFonts w:hint="eastAsia"/>
          <w:b/>
          <w:bCs/>
        </w:rPr>
        <w:t>F</w:t>
      </w:r>
      <w:r w:rsidRPr="0070110D">
        <w:rPr>
          <w:b/>
          <w:bCs/>
        </w:rPr>
        <w:t xml:space="preserve">DRA scheme for </w:t>
      </w:r>
      <w:r>
        <w:rPr>
          <w:rFonts w:hint="eastAsia"/>
          <w:b/>
          <w:bCs/>
        </w:rPr>
        <w:t>PDSCH in 6GR</w:t>
      </w:r>
      <w:r w:rsidRPr="0070110D">
        <w:rPr>
          <w:b/>
          <w:bCs/>
        </w:rPr>
        <w:t>.</w:t>
      </w:r>
    </w:p>
    <w:p w14:paraId="7905959A" w14:textId="77777777" w:rsidR="00B6566A" w:rsidRDefault="00B6566A" w:rsidP="00E70A73"/>
    <w:p w14:paraId="042D87A8" w14:textId="0B791250" w:rsidR="009F04C8" w:rsidRDefault="009F04C8" w:rsidP="00E70A73">
      <w:r>
        <w:t>SCMC enables multiple carriers to be managed as a single logical cell. While the baseline TDRA and FDRA schemes from NR can be applied to each individual carrier, additional study may be needed to efficiently allocate resources across multiple carriers within the SCMC framework. Potential study areas include:</w:t>
      </w:r>
    </w:p>
    <w:p w14:paraId="320BA8BD" w14:textId="28F39F27" w:rsidR="009F04C8" w:rsidRDefault="009F04C8" w:rsidP="00E70A73">
      <w:pPr>
        <w:pStyle w:val="a6"/>
        <w:numPr>
          <w:ilvl w:val="0"/>
          <w:numId w:val="14"/>
        </w:numPr>
      </w:pPr>
      <w:r>
        <w:t>Cross-carrier resource indication: jointly or separately indicat</w:t>
      </w:r>
      <w:r w:rsidR="00EC18E0">
        <w:rPr>
          <w:rFonts w:hint="eastAsia"/>
        </w:rPr>
        <w:t>ing</w:t>
      </w:r>
      <w:r>
        <w:t xml:space="preserve"> time and frequency resources across multiple carriers using a single DCI</w:t>
      </w:r>
    </w:p>
    <w:p w14:paraId="04553255" w14:textId="663EAB36" w:rsidR="009F04C8" w:rsidRDefault="009F04C8" w:rsidP="00E70A73">
      <w:pPr>
        <w:pStyle w:val="a6"/>
        <w:numPr>
          <w:ilvl w:val="0"/>
          <w:numId w:val="14"/>
        </w:numPr>
      </w:pPr>
      <w:r>
        <w:t>Dynamic resource distribution</w:t>
      </w:r>
      <w:r w:rsidR="00EC18E0">
        <w:rPr>
          <w:rFonts w:hint="eastAsia"/>
        </w:rPr>
        <w:t>:</w:t>
      </w:r>
      <w:r>
        <w:t xml:space="preserve"> aggregat</w:t>
      </w:r>
      <w:r w:rsidR="00EC18E0">
        <w:rPr>
          <w:rFonts w:hint="eastAsia"/>
        </w:rPr>
        <w:t>ing</w:t>
      </w:r>
      <w:r>
        <w:t xml:space="preserve"> or distribut</w:t>
      </w:r>
      <w:r w:rsidR="00EC18E0">
        <w:rPr>
          <w:rFonts w:hint="eastAsia"/>
        </w:rPr>
        <w:t>ing</w:t>
      </w:r>
      <w:r>
        <w:t xml:space="preserve"> PDSCH resources across carriers</w:t>
      </w:r>
    </w:p>
    <w:p w14:paraId="34DBCAA3" w14:textId="558182B4" w:rsidR="00CB775C" w:rsidRDefault="009F04C8" w:rsidP="00E70A73">
      <w:pPr>
        <w:pStyle w:val="a6"/>
        <w:numPr>
          <w:ilvl w:val="0"/>
          <w:numId w:val="14"/>
        </w:numPr>
      </w:pPr>
      <w:r>
        <w:t xml:space="preserve">Interaction with existing procedures: </w:t>
      </w:r>
      <w:r w:rsidR="0060014C">
        <w:rPr>
          <w:rFonts w:hint="eastAsia"/>
        </w:rPr>
        <w:t>i</w:t>
      </w:r>
      <w:r w:rsidR="0060014C" w:rsidRPr="0060014C">
        <w:t>nterplay between SCMC</w:t>
      </w:r>
      <w:r w:rsidR="0060014C">
        <w:rPr>
          <w:rFonts w:hint="eastAsia"/>
        </w:rPr>
        <w:t xml:space="preserve"> operation</w:t>
      </w:r>
      <w:r w:rsidR="0060014C" w:rsidRPr="0060014C">
        <w:t>, BWP switching, and carrier indication.</w:t>
      </w:r>
    </w:p>
    <w:p w14:paraId="6F9CBFBB" w14:textId="521CB174" w:rsidR="0070110D" w:rsidRPr="0070110D" w:rsidRDefault="00015391" w:rsidP="00E70A73">
      <w:pPr>
        <w:rPr>
          <w:b/>
          <w:bCs/>
        </w:rPr>
      </w:pPr>
      <w:r w:rsidRPr="0070110D">
        <w:rPr>
          <w:b/>
          <w:bCs/>
        </w:rPr>
        <w:t xml:space="preserve">Proposal </w:t>
      </w:r>
      <w:r>
        <w:rPr>
          <w:rFonts w:hint="eastAsia"/>
          <w:b/>
          <w:bCs/>
        </w:rPr>
        <w:t>15</w:t>
      </w:r>
      <w:r w:rsidRPr="0070110D">
        <w:rPr>
          <w:b/>
          <w:bCs/>
        </w:rPr>
        <w:t xml:space="preserve">: </w:t>
      </w:r>
      <w:r w:rsidRPr="006E5DE8">
        <w:rPr>
          <w:b/>
          <w:bCs/>
        </w:rPr>
        <w:t>Study resource allocation for PDSCH with SCMC in 6GR.</w:t>
      </w:r>
    </w:p>
    <w:p w14:paraId="4E2D4606" w14:textId="77777777" w:rsidR="006C5A6B" w:rsidRPr="0070110D" w:rsidRDefault="006C5A6B" w:rsidP="00E70A73"/>
    <w:p w14:paraId="3965083C" w14:textId="79E1F530" w:rsidR="008115B0" w:rsidRDefault="008115B0" w:rsidP="00E70A73">
      <w:pPr>
        <w:pStyle w:val="1"/>
      </w:pPr>
      <w:r w:rsidRPr="0070110D">
        <w:t>DMRS design for PDSCH</w:t>
      </w:r>
    </w:p>
    <w:p w14:paraId="3E95E023" w14:textId="17B6E7BD" w:rsidR="008115B0" w:rsidRDefault="00C61E69" w:rsidP="00E70A73">
      <w:pPr>
        <w:pStyle w:val="2"/>
      </w:pPr>
      <w:r>
        <w:rPr>
          <w:rFonts w:hint="eastAsia"/>
        </w:rPr>
        <w:t xml:space="preserve">Basic </w:t>
      </w:r>
      <w:r w:rsidR="008115B0" w:rsidRPr="008115B0">
        <w:t>DMRS design</w:t>
      </w:r>
    </w:p>
    <w:p w14:paraId="512DD8CE" w14:textId="6551B43D" w:rsidR="00A75221" w:rsidRDefault="00A75221" w:rsidP="00E70A73">
      <w:r>
        <w:t xml:space="preserve">To support the extreme spatial multiplexing requirements of 6GR, particularly high-order MU-MIMO </w:t>
      </w:r>
      <w:r w:rsidR="00E81C74">
        <w:rPr>
          <w:rFonts w:hint="eastAsia"/>
        </w:rPr>
        <w:t>transmission</w:t>
      </w:r>
      <w:r>
        <w:t xml:space="preserve">s with up to 64 layers, </w:t>
      </w:r>
      <w:r w:rsidR="00992EA8">
        <w:rPr>
          <w:rFonts w:hint="eastAsia"/>
        </w:rPr>
        <w:t>DMRS</w:t>
      </w:r>
      <w:r>
        <w:t xml:space="preserve"> design must evolve to provide sufficient orthogonal ports. NR DMRS serves as a robust baseline </w:t>
      </w:r>
      <w:r w:rsidR="00B0513F">
        <w:rPr>
          <w:rFonts w:hint="eastAsia"/>
        </w:rPr>
        <w:t>due to</w:t>
      </w:r>
      <w:r>
        <w:t xml:space="preserve"> its flexible configuration types:</w:t>
      </w:r>
    </w:p>
    <w:p w14:paraId="373C1296" w14:textId="2BE53170" w:rsidR="00A75221" w:rsidRDefault="00A75221" w:rsidP="00E70A73">
      <w:pPr>
        <w:pStyle w:val="a6"/>
        <w:numPr>
          <w:ilvl w:val="0"/>
          <w:numId w:val="16"/>
        </w:numPr>
      </w:pPr>
      <w:r>
        <w:t xml:space="preserve">Configuration Type-1: Supports 2 CDM groups with up to 4 ports for single-symbol DMRS and up to 8 </w:t>
      </w:r>
      <w:r>
        <w:lastRenderedPageBreak/>
        <w:t>ports for double-symbol DMRS. Type-1 uses every 2nd subcarrier within the symbols allocated to DMRS, providing higher channel estimation accuracy.</w:t>
      </w:r>
    </w:p>
    <w:p w14:paraId="16A1D618" w14:textId="257D741C" w:rsidR="00A75221" w:rsidRDefault="00A75221" w:rsidP="00E70A73">
      <w:pPr>
        <w:pStyle w:val="a6"/>
        <w:numPr>
          <w:ilvl w:val="0"/>
          <w:numId w:val="16"/>
        </w:numPr>
      </w:pPr>
      <w:r>
        <w:t>Configuration Type-2: Supports 3 CDM groups with up to 6 ports for single-symbol DMRS and up to 12 ports for double-symbol DMRS. Type-2 uses every 3rd pair of subcarriers, enabling greater flexibility for MU-MIMO multiplexing.</w:t>
      </w:r>
    </w:p>
    <w:p w14:paraId="475275FD" w14:textId="44DA7D66" w:rsidR="00A75221" w:rsidRDefault="00A75221" w:rsidP="00E70A73">
      <w:r>
        <w:t>Within each CDM group,</w:t>
      </w:r>
      <w:r w:rsidR="0098779F">
        <w:rPr>
          <w:rFonts w:hint="eastAsia"/>
        </w:rPr>
        <w:t xml:space="preserve"> OCC</w:t>
      </w:r>
      <w:r w:rsidR="00324D90">
        <w:rPr>
          <w:rFonts w:hint="eastAsia"/>
        </w:rPr>
        <w:t>s</w:t>
      </w:r>
      <w:r>
        <w:t xml:space="preserve"> are applied in the frequency domain for single-symbol DMRS, and in both frequency and time domains for double-symbol DMRS. NR Rel-18 introduced enhanced DMRS multiplexing that extends the maximum number of orthogonal ports to </w:t>
      </w:r>
      <w:r w:rsidR="00A23CA1">
        <w:rPr>
          <w:rFonts w:hint="eastAsia"/>
        </w:rPr>
        <w:t xml:space="preserve">16 and </w:t>
      </w:r>
      <w:r>
        <w:t xml:space="preserve">24 for MU-MIMO </w:t>
      </w:r>
      <w:r w:rsidR="00D53253">
        <w:rPr>
          <w:rFonts w:hint="eastAsia"/>
        </w:rPr>
        <w:t xml:space="preserve">operation </w:t>
      </w:r>
      <w:r>
        <w:t xml:space="preserve">by utilizing extended </w:t>
      </w:r>
      <w:r w:rsidR="00F6099E">
        <w:rPr>
          <w:rFonts w:hint="eastAsia"/>
        </w:rPr>
        <w:t>FD-OCC</w:t>
      </w:r>
      <w:r>
        <w:t xml:space="preserve"> </w:t>
      </w:r>
      <w:r w:rsidR="00D53253">
        <w:rPr>
          <w:rFonts w:hint="eastAsia"/>
        </w:rPr>
        <w:t xml:space="preserve">with </w:t>
      </w:r>
      <w:r>
        <w:t>length 4</w:t>
      </w:r>
      <w:r w:rsidR="00A23CA1">
        <w:rPr>
          <w:rFonts w:hint="eastAsia"/>
        </w:rPr>
        <w:t>, for NR Type-1 DMRS and NR Type-2 DMRS, respectively</w:t>
      </w:r>
      <w:r>
        <w:t>.</w:t>
      </w:r>
      <w:r w:rsidR="000B58C7">
        <w:rPr>
          <w:rFonts w:hint="eastAsia"/>
        </w:rPr>
        <w:t xml:space="preserve"> </w:t>
      </w:r>
      <w:r>
        <w:t xml:space="preserve">However, to fully exploit the spatial degrees of freedom in 6GR, it is proposed to extend the DMRS framework to support up to 64 orthogonal ports while maintaining fundamental NR design principles, </w:t>
      </w:r>
      <w:r w:rsidR="00D53253">
        <w:rPr>
          <w:rFonts w:hint="eastAsia"/>
        </w:rPr>
        <w:t>including</w:t>
      </w:r>
      <w:r>
        <w:t xml:space="preserve"> Mapping Type A/B, flexible time-domain positioning (</w:t>
      </w:r>
      <w:r w:rsidR="00D53253">
        <w:rPr>
          <w:rFonts w:hint="eastAsia"/>
        </w:rPr>
        <w:t>i.e.,</w:t>
      </w:r>
      <w:r>
        <w:t xml:space="preserve"> additional DMRS symbols for high-mobility scenarios), and low-PAPR sequence options.</w:t>
      </w:r>
      <w:r w:rsidR="00242C62">
        <w:rPr>
          <w:rFonts w:hint="eastAsia"/>
        </w:rPr>
        <w:t xml:space="preserve"> </w:t>
      </w:r>
      <w:r w:rsidR="00A42CA5" w:rsidRPr="00A42CA5">
        <w:t xml:space="preserve">Furthermore, maintaining NR DMRS as baseline is essential for supporting SDM-based </w:t>
      </w:r>
      <w:r w:rsidR="00F976AF">
        <w:rPr>
          <w:rFonts w:hint="eastAsia"/>
        </w:rPr>
        <w:t>MRSS</w:t>
      </w:r>
      <w:r w:rsidR="00A42CA5" w:rsidRPr="00A42CA5">
        <w:t xml:space="preserve"> across NR and 6GR UEs. In MU-MIMO scenarios where NR UEs and 6GR UEs are co-scheduled on the same time-frequency resources, orthogonality between DMRS ports must be preserved to enable accurate channel estimation for each UE. By extending the 6GR DMRS framework from NR DMRS, </w:t>
      </w:r>
      <w:r w:rsidR="00A23A62">
        <w:rPr>
          <w:rFonts w:hint="eastAsia"/>
        </w:rPr>
        <w:t>NW</w:t>
      </w:r>
      <w:r w:rsidR="00A42CA5" w:rsidRPr="00A42CA5">
        <w:t xml:space="preserve"> can flexibly allocate DMRS ports from a unified port space, ensuring seamless co-existence and efficient spatial multiplexing between NR UEs and 6GR UEs.</w:t>
      </w:r>
      <w:r w:rsidR="003241D1">
        <w:rPr>
          <w:rFonts w:hint="eastAsia"/>
        </w:rPr>
        <w:t xml:space="preserve"> </w:t>
      </w:r>
      <w:r>
        <w:t>The extension of 6GR DMRS focuses on increasing the capacity of orthogonal ports through the expansion of CDM groups and</w:t>
      </w:r>
      <w:r w:rsidR="000B58C7">
        <w:rPr>
          <w:rFonts w:hint="eastAsia"/>
        </w:rPr>
        <w:t>/or</w:t>
      </w:r>
      <w:r>
        <w:t xml:space="preserve"> the enhancement of OCC lengths.</w:t>
      </w:r>
    </w:p>
    <w:p w14:paraId="2F9757D7" w14:textId="2E1FADEF" w:rsidR="00A75221" w:rsidRDefault="00A75221" w:rsidP="00E70A73">
      <w:pPr>
        <w:pStyle w:val="a6"/>
        <w:numPr>
          <w:ilvl w:val="0"/>
          <w:numId w:val="17"/>
        </w:numPr>
      </w:pPr>
      <w:r>
        <w:t xml:space="preserve">64-port </w:t>
      </w:r>
      <w:r w:rsidR="000B58C7">
        <w:rPr>
          <w:rFonts w:hint="eastAsia"/>
        </w:rPr>
        <w:t>o</w:t>
      </w:r>
      <w:r>
        <w:t>rthogonal DMRS: By extending the NR Type-1 DMRS framework, 6GR can support 64 orthogonal ports. This can be achieved by increasing the number of CDM groups and/or extending the OCC length in both time and frequency domains. This expansion is essential to accommodate the 64-layer requirement for high-order MU-MIMO PDSCH transmission.</w:t>
      </w:r>
    </w:p>
    <w:p w14:paraId="7E78F873" w14:textId="5F0180F3" w:rsidR="00BD5614" w:rsidRDefault="00A75221" w:rsidP="00E70A73">
      <w:pPr>
        <w:pStyle w:val="a6"/>
        <w:numPr>
          <w:ilvl w:val="0"/>
          <w:numId w:val="17"/>
        </w:numPr>
      </w:pPr>
      <w:r>
        <w:t xml:space="preserve">48-port </w:t>
      </w:r>
      <w:r w:rsidR="000B58C7">
        <w:rPr>
          <w:rFonts w:hint="eastAsia"/>
        </w:rPr>
        <w:t>o</w:t>
      </w:r>
      <w:r>
        <w:t>rthogonal DMRS: As an intermediate high-capacity configuration, 6GR can also support a 48-port orthogonal DMRS structure. This design can be derived by extending both NR Type-1 and Type-2 DMRS frameworks, providing flexibility in balancing pilot overhead and spatial multiplexing gain.</w:t>
      </w:r>
    </w:p>
    <w:p w14:paraId="2B64D15B" w14:textId="77777777" w:rsidR="006C3044" w:rsidRPr="008115B0" w:rsidRDefault="006C3044" w:rsidP="00E70A73">
      <w:pPr>
        <w:rPr>
          <w:b/>
          <w:bCs/>
        </w:rPr>
      </w:pPr>
      <w:r w:rsidRPr="008115B0">
        <w:rPr>
          <w:b/>
          <w:bCs/>
        </w:rPr>
        <w:t xml:space="preserve">Proposal </w:t>
      </w:r>
      <w:r>
        <w:rPr>
          <w:rFonts w:hint="eastAsia"/>
          <w:b/>
          <w:bCs/>
        </w:rPr>
        <w:t>16</w:t>
      </w:r>
      <w:r w:rsidRPr="008115B0">
        <w:rPr>
          <w:b/>
          <w:bCs/>
        </w:rPr>
        <w:t>: 6GR DMRS is extended from NR DMRS to support up to 64 ports.</w:t>
      </w:r>
    </w:p>
    <w:p w14:paraId="1BCA37E5" w14:textId="77777777" w:rsidR="00646181" w:rsidRDefault="00646181" w:rsidP="00E70A73"/>
    <w:p w14:paraId="56F8FA8D" w14:textId="345A652B" w:rsidR="00EA7D92" w:rsidRDefault="00EA7D92" w:rsidP="00E70A73">
      <w:r>
        <w:t>In NR, DMRS bundling was introduced in Rel-17 primarily for uplink channels to improve coverage. To improve PUSCH coverage, 3GPP specified mechanisms for repetition and support for transport block processing over multiple slots. Moreover, Rel-17 specifies mechanisms to support DMRS bundling across PUSCH repetitions.</w:t>
      </w:r>
      <w:r>
        <w:rPr>
          <w:rFonts w:hint="eastAsia"/>
        </w:rPr>
        <w:t xml:space="preserve"> </w:t>
      </w:r>
      <w:r>
        <w:t>DMRS bundling, where the UE maintains phase continuity and power consistency across PUSCH transmissions or PUCCH repetitions, enables improved channel estimation. Inter-slot frequency hopping with DMRS bundling is also supported</w:t>
      </w:r>
      <w:r w:rsidR="002E677C">
        <w:rPr>
          <w:rFonts w:hint="eastAsia"/>
        </w:rPr>
        <w:t xml:space="preserve"> in Rel-17</w:t>
      </w:r>
      <w:r>
        <w:t>.</w:t>
      </w:r>
      <w:r>
        <w:rPr>
          <w:rFonts w:hint="eastAsia"/>
        </w:rPr>
        <w:t xml:space="preserve"> </w:t>
      </w:r>
      <w:r>
        <w:t xml:space="preserve">The principle of DMRS bundling is to </w:t>
      </w:r>
      <w:r w:rsidR="00084079">
        <w:rPr>
          <w:rFonts w:hint="eastAsia"/>
        </w:rPr>
        <w:t xml:space="preserve">enable </w:t>
      </w:r>
      <w:r>
        <w:t>joint channel estimation across multiple slots by ensuring that the transmitter maintains consistent phase and power characteristics within a bundling window. This increases the number of DMRS samples available for channel estimation, thereby improving the estimation accuracy and demodulation performance, particularly in low-SNR conditions.</w:t>
      </w:r>
      <w:r>
        <w:rPr>
          <w:rFonts w:hint="eastAsia"/>
        </w:rPr>
        <w:t xml:space="preserve"> </w:t>
      </w:r>
      <w:r>
        <w:t xml:space="preserve">The UE receives a configuration from </w:t>
      </w:r>
      <w:r w:rsidR="00774E97">
        <w:rPr>
          <w:rFonts w:hint="eastAsia"/>
        </w:rPr>
        <w:t>NW</w:t>
      </w:r>
      <w:r>
        <w:t xml:space="preserve"> indicating to bundle DMRS in different uplink data channel transmissions for joint channel estimation. The UE determines a DMRS bundling window based on the configuration.</w:t>
      </w:r>
      <w:r w:rsidR="003241D1">
        <w:rPr>
          <w:rFonts w:hint="eastAsia"/>
        </w:rPr>
        <w:t xml:space="preserve"> </w:t>
      </w:r>
      <w:r>
        <w:t xml:space="preserve">While NR Rel-17 focused on DMRS bundling for uplink channels, 6GR can </w:t>
      </w:r>
      <w:r w:rsidR="00185D97">
        <w:rPr>
          <w:rFonts w:hint="eastAsia"/>
        </w:rPr>
        <w:t xml:space="preserve">benefit from </w:t>
      </w:r>
      <w:r>
        <w:t>extend</w:t>
      </w:r>
      <w:r w:rsidR="00185D97">
        <w:rPr>
          <w:rFonts w:hint="eastAsia"/>
        </w:rPr>
        <w:t>ing</w:t>
      </w:r>
      <w:r>
        <w:t xml:space="preserve"> this concept to downlink PDSCH transmission to enhance reliability and coverage for multi-slot-based PDSCH </w:t>
      </w:r>
      <w:r w:rsidR="00B9079E">
        <w:rPr>
          <w:rFonts w:hint="eastAsia"/>
        </w:rPr>
        <w:t>transmission</w:t>
      </w:r>
      <w:r>
        <w:t xml:space="preserve">. When PDSCH is transmitted over multiple consecutive slots using repetition or </w:t>
      </w:r>
      <w:proofErr w:type="spellStart"/>
      <w:r>
        <w:t>TBoMS</w:t>
      </w:r>
      <w:proofErr w:type="spellEnd"/>
      <w:r>
        <w:t>-like mechanisms, DMRS bundling can enable the UE to perform joint channel estimation across these slots, leading to improved demodulation performance.</w:t>
      </w:r>
      <w:r w:rsidR="003241D1">
        <w:rPr>
          <w:rFonts w:hint="eastAsia"/>
        </w:rPr>
        <w:t xml:space="preserve"> </w:t>
      </w:r>
      <w:r>
        <w:t>The benefits of DMRS bundling for multi-slot PDSCH transmission include:</w:t>
      </w:r>
    </w:p>
    <w:p w14:paraId="25A2E35A" w14:textId="77777777" w:rsidR="00EA7D92" w:rsidRDefault="00EA7D92" w:rsidP="00E70A73">
      <w:pPr>
        <w:pStyle w:val="a6"/>
        <w:numPr>
          <w:ilvl w:val="0"/>
          <w:numId w:val="18"/>
        </w:numPr>
      </w:pPr>
      <w:r>
        <w:t>Improved channel estimation accuracy: By combining DMRS observations from multiple slots, the effective SNR for channel estimation increases, particularly beneficial for cell-edge UEs or coverage-limited scenarios.</w:t>
      </w:r>
    </w:p>
    <w:p w14:paraId="74F8BA46" w14:textId="17658C9C" w:rsidR="00EA7D92" w:rsidRDefault="00EA7D92" w:rsidP="00E70A73">
      <w:pPr>
        <w:pStyle w:val="a6"/>
        <w:numPr>
          <w:ilvl w:val="0"/>
          <w:numId w:val="18"/>
        </w:numPr>
      </w:pPr>
      <w:r>
        <w:lastRenderedPageBreak/>
        <w:t xml:space="preserve">Enhanced reliability: More accurate channel estimates lead to lower </w:t>
      </w:r>
      <w:r w:rsidR="007C753D">
        <w:rPr>
          <w:rFonts w:hint="eastAsia"/>
        </w:rPr>
        <w:t>BLER</w:t>
      </w:r>
      <w:r>
        <w:t>, supporting URLLC and other reliability-sensitive applications.</w:t>
      </w:r>
    </w:p>
    <w:p w14:paraId="6E3DC9DB" w14:textId="050F13AF" w:rsidR="00A15375" w:rsidRPr="00646181" w:rsidRDefault="00EA7D92" w:rsidP="00E70A73">
      <w:pPr>
        <w:pStyle w:val="a6"/>
        <w:numPr>
          <w:ilvl w:val="0"/>
          <w:numId w:val="18"/>
        </w:numPr>
      </w:pPr>
      <w:r>
        <w:t>Reduced DMRS overhead: With improved channel estimation through bundling, it may be possible to reduce the number of additional DMRS symbols per slot while maintaining equivalent performance.</w:t>
      </w:r>
    </w:p>
    <w:p w14:paraId="01CE3997" w14:textId="702056A6" w:rsidR="00646181" w:rsidRPr="005E55FA" w:rsidRDefault="006C3044" w:rsidP="00E70A73">
      <w:r w:rsidRPr="008115B0">
        <w:rPr>
          <w:b/>
          <w:bCs/>
        </w:rPr>
        <w:t xml:space="preserve">Proposal </w:t>
      </w:r>
      <w:r>
        <w:rPr>
          <w:rFonts w:hint="eastAsia"/>
          <w:b/>
          <w:bCs/>
        </w:rPr>
        <w:t>17</w:t>
      </w:r>
      <w:r w:rsidRPr="008115B0">
        <w:rPr>
          <w:b/>
          <w:bCs/>
        </w:rPr>
        <w:t xml:space="preserve">: Support DMRS bundling for multi-slot-based </w:t>
      </w:r>
      <w:r w:rsidR="00D60A5C">
        <w:rPr>
          <w:rFonts w:hint="eastAsia"/>
          <w:b/>
          <w:bCs/>
        </w:rPr>
        <w:t xml:space="preserve">PDSCH </w:t>
      </w:r>
      <w:r w:rsidRPr="008115B0">
        <w:rPr>
          <w:b/>
          <w:bCs/>
        </w:rPr>
        <w:t>transmission</w:t>
      </w:r>
      <w:r>
        <w:rPr>
          <w:rFonts w:hint="eastAsia"/>
          <w:b/>
          <w:bCs/>
        </w:rPr>
        <w:t xml:space="preserve"> in 6GR</w:t>
      </w:r>
      <w:r w:rsidRPr="008115B0">
        <w:rPr>
          <w:b/>
          <w:bCs/>
        </w:rPr>
        <w:t>.</w:t>
      </w:r>
    </w:p>
    <w:p w14:paraId="25A3256A" w14:textId="77777777" w:rsidR="00851C0E" w:rsidRDefault="00851C0E" w:rsidP="00E70A73"/>
    <w:p w14:paraId="01C4502E" w14:textId="23A90149" w:rsidR="00E81C74" w:rsidRDefault="00E81C74" w:rsidP="00E70A73">
      <w:r>
        <w:t xml:space="preserve">In Rel-18, 3GPP introduced enhanced receiver architectures specifically designed to mitigate </w:t>
      </w:r>
      <w:r w:rsidR="00391CF8">
        <w:rPr>
          <w:rFonts w:hint="eastAsia"/>
        </w:rPr>
        <w:t>inter-UE interference</w:t>
      </w:r>
      <w:r>
        <w:t xml:space="preserve"> in MU-MIMO scenarios. The framework focused on the standardization of </w:t>
      </w:r>
      <w:r w:rsidR="00391CF8">
        <w:rPr>
          <w:rFonts w:hint="eastAsia"/>
        </w:rPr>
        <w:t>R-ML</w:t>
      </w:r>
      <w:r>
        <w:t xml:space="preserve"> receivers and E-LMMSE-IRC. To support these advanced receivers, </w:t>
      </w:r>
      <w:r w:rsidR="00573769" w:rsidRPr="00326430">
        <w:rPr>
          <w:rFonts w:hint="eastAsia"/>
        </w:rPr>
        <w:t>NW</w:t>
      </w:r>
      <w:r w:rsidRPr="00326430">
        <w:t xml:space="preserve"> assistance signaling was </w:t>
      </w:r>
      <w:r w:rsidR="00326430">
        <w:rPr>
          <w:rFonts w:hint="eastAsia"/>
        </w:rPr>
        <w:t>introduced</w:t>
      </w:r>
      <w:r w:rsidRPr="00326430">
        <w:t xml:space="preserve"> to </w:t>
      </w:r>
      <w:r w:rsidR="001D2D66">
        <w:rPr>
          <w:rFonts w:hint="eastAsia"/>
        </w:rPr>
        <w:t xml:space="preserve">inform </w:t>
      </w:r>
      <w:r w:rsidRPr="00326430">
        <w:t xml:space="preserve">UE </w:t>
      </w:r>
      <w:r w:rsidR="00D30024">
        <w:rPr>
          <w:rFonts w:hint="eastAsia"/>
        </w:rPr>
        <w:t>of the commonality of specific DMRS configurations and PDSCH scheduling parameters</w:t>
      </w:r>
      <w:r w:rsidR="000B0871" w:rsidRPr="00326430">
        <w:rPr>
          <w:rFonts w:hint="eastAsia"/>
        </w:rPr>
        <w:t xml:space="preserve"> </w:t>
      </w:r>
      <w:r w:rsidR="00D30024">
        <w:rPr>
          <w:rFonts w:hint="eastAsia"/>
        </w:rPr>
        <w:t>relative to co-scheduled UEs</w:t>
      </w:r>
      <w:r w:rsidRPr="00326430">
        <w:t>.</w:t>
      </w:r>
      <w:r>
        <w:t xml:space="preserve"> This signaling enables the UE to perform more accurate interference channel estimation, which is a prerequisite for non-linear interference cancellation. However, the current framework was optimized for NR's MU-MIMO rank, and its direct application to the massive-scale multiplexing envisioned for 6GR requires a re-evaluation of both scalability and estimation precision.</w:t>
      </w:r>
      <w:r w:rsidR="001413EC">
        <w:rPr>
          <w:rFonts w:hint="eastAsia"/>
        </w:rPr>
        <w:t xml:space="preserve"> </w:t>
      </w:r>
      <w:r>
        <w:t>The 6GR system aims to achieve extreme spectral efficiency by supporting up to 64 orthogonal layers for MU-MIMO transmissions. As the number of multiplexed layers increases to this magnitude, the dimensionality of the interference matrix grows exponentially, making the "curse of dimensionality" a primary concern for receiver design. Standard linear receivers often hit a performance ceiling in such dense interference environments, as they cannot effectively resolve or cancel the high-rank interference components without significant noise enhancement.</w:t>
      </w:r>
      <w:r w:rsidR="001413EC">
        <w:rPr>
          <w:rFonts w:hint="eastAsia"/>
        </w:rPr>
        <w:t xml:space="preserve"> </w:t>
      </w:r>
      <w:r>
        <w:t>Consequently, the 6GR receiver must not only be high-performing in terms of detection but also robust enough to handle the increased complexity of the interference environment with manageable hardware and power consumption.</w:t>
      </w:r>
    </w:p>
    <w:p w14:paraId="00F5F00C" w14:textId="5B326808" w:rsidR="006C3044" w:rsidRDefault="006C3044" w:rsidP="00E70A73">
      <w:r w:rsidRPr="008115B0">
        <w:rPr>
          <w:b/>
          <w:bCs/>
        </w:rPr>
        <w:t xml:space="preserve">Proposal </w:t>
      </w:r>
      <w:r>
        <w:rPr>
          <w:rFonts w:hint="eastAsia"/>
          <w:b/>
          <w:bCs/>
        </w:rPr>
        <w:t>18</w:t>
      </w:r>
      <w:r w:rsidRPr="008115B0">
        <w:rPr>
          <w:b/>
          <w:bCs/>
        </w:rPr>
        <w:t>: Study advanced MU-MIMO receiver for up to 64 MU layers</w:t>
      </w:r>
      <w:r>
        <w:rPr>
          <w:rFonts w:hint="eastAsia"/>
          <w:b/>
          <w:bCs/>
        </w:rPr>
        <w:t xml:space="preserve"> in 6GR</w:t>
      </w:r>
      <w:r w:rsidRPr="008115B0">
        <w:rPr>
          <w:b/>
          <w:bCs/>
        </w:rPr>
        <w:t>.</w:t>
      </w:r>
    </w:p>
    <w:p w14:paraId="37324F4A" w14:textId="77777777" w:rsidR="007A6CDC" w:rsidRPr="008115B0" w:rsidRDefault="007A6CDC" w:rsidP="00E70A73"/>
    <w:p w14:paraId="3CAB142C" w14:textId="0EBBB608" w:rsidR="0077217A" w:rsidRDefault="008115B0" w:rsidP="00E70A73">
      <w:pPr>
        <w:pStyle w:val="2"/>
      </w:pPr>
      <w:r w:rsidRPr="008115B0">
        <w:t>DMRS design and procedure for AI/ML-based channel estimation</w:t>
      </w:r>
    </w:p>
    <w:p w14:paraId="56687CB6" w14:textId="13798106" w:rsidR="00CB484E" w:rsidRDefault="00CB484E" w:rsidP="00E70A73">
      <w:pPr>
        <w:spacing w:after="120" w:line="276" w:lineRule="auto"/>
        <w:rPr>
          <w:rFonts w:eastAsia="바탕"/>
          <w:szCs w:val="28"/>
        </w:rPr>
      </w:pPr>
      <w:r>
        <w:rPr>
          <w:rFonts w:eastAsia="바탕" w:hint="eastAsia"/>
          <w:szCs w:val="28"/>
        </w:rPr>
        <w:t>I</w:t>
      </w:r>
      <w:r>
        <w:rPr>
          <w:rFonts w:eastAsia="바탕"/>
          <w:szCs w:val="28"/>
        </w:rPr>
        <w:t xml:space="preserve">n the RAN1#123 meeting, followings were agreed and captured as observation of preliminary simulation results on low overhead DMRS with AI/ML receiver </w:t>
      </w:r>
      <w:r w:rsidR="005E49A7">
        <w:rPr>
          <w:rFonts w:eastAsia="바탕"/>
          <w:color w:val="FF0000"/>
          <w:szCs w:val="28"/>
        </w:rPr>
        <w:fldChar w:fldCharType="begin"/>
      </w:r>
      <w:r w:rsidR="005E49A7">
        <w:rPr>
          <w:rFonts w:eastAsia="바탕"/>
          <w:szCs w:val="28"/>
        </w:rPr>
        <w:instrText xml:space="preserve"> REF _Ref220522799 \n \h </w:instrText>
      </w:r>
      <w:r w:rsidR="005E49A7">
        <w:rPr>
          <w:rFonts w:eastAsia="바탕"/>
          <w:color w:val="FF0000"/>
          <w:szCs w:val="28"/>
        </w:rPr>
      </w:r>
      <w:r w:rsidR="00E70A73">
        <w:rPr>
          <w:rFonts w:eastAsia="바탕"/>
          <w:color w:val="FF0000"/>
          <w:szCs w:val="28"/>
        </w:rPr>
        <w:instrText xml:space="preserve"> \* MERGEFORMAT </w:instrText>
      </w:r>
      <w:r w:rsidR="005E49A7">
        <w:rPr>
          <w:rFonts w:eastAsia="바탕"/>
          <w:color w:val="FF0000"/>
          <w:szCs w:val="28"/>
        </w:rPr>
        <w:fldChar w:fldCharType="separate"/>
      </w:r>
      <w:r w:rsidR="005E49A7">
        <w:rPr>
          <w:rFonts w:eastAsia="바탕"/>
          <w:szCs w:val="28"/>
        </w:rPr>
        <w:t>[4]</w:t>
      </w:r>
      <w:r w:rsidR="005E49A7">
        <w:rPr>
          <w:rFonts w:eastAsia="바탕"/>
          <w:color w:val="FF0000"/>
          <w:szCs w:val="28"/>
        </w:rPr>
        <w:fldChar w:fldCharType="end"/>
      </w:r>
      <w:r>
        <w:rPr>
          <w:rFonts w:eastAsia="바탕"/>
          <w:szCs w:val="28"/>
        </w:rPr>
        <w:t>.</w:t>
      </w:r>
    </w:p>
    <w:tbl>
      <w:tblPr>
        <w:tblStyle w:val="ac"/>
        <w:tblW w:w="0" w:type="auto"/>
        <w:tblLook w:val="04A0" w:firstRow="1" w:lastRow="0" w:firstColumn="1" w:lastColumn="0" w:noHBand="0" w:noVBand="1"/>
      </w:tblPr>
      <w:tblGrid>
        <w:gridCol w:w="9736"/>
      </w:tblGrid>
      <w:tr w:rsidR="00CB484E" w:rsidRPr="00AC3D50" w14:paraId="17053474" w14:textId="77777777" w:rsidTr="00BD6BAB">
        <w:trPr>
          <w:trHeight w:val="346"/>
        </w:trPr>
        <w:tc>
          <w:tcPr>
            <w:tcW w:w="9736" w:type="dxa"/>
          </w:tcPr>
          <w:p w14:paraId="0185357A" w14:textId="77777777" w:rsidR="00CB484E" w:rsidRPr="007C041C" w:rsidRDefault="00CB484E" w:rsidP="00E70A73">
            <w:pPr>
              <w:rPr>
                <w:rFonts w:eastAsia="DengXian"/>
                <w:highlight w:val="green"/>
                <w:lang w:eastAsia="zh-CN"/>
              </w:rPr>
            </w:pPr>
            <w:r w:rsidRPr="007C041C">
              <w:rPr>
                <w:rFonts w:eastAsia="DengXian" w:hint="eastAsia"/>
                <w:highlight w:val="green"/>
                <w:lang w:eastAsia="zh-CN"/>
              </w:rPr>
              <w:t>Agreement</w:t>
            </w:r>
            <w:r>
              <w:rPr>
                <w:rFonts w:eastAsia="DengXian"/>
                <w:highlight w:val="green"/>
                <w:lang w:eastAsia="zh-CN"/>
              </w:rPr>
              <w:t xml:space="preserve"> in RAN1#123 meeting</w:t>
            </w:r>
          </w:p>
          <w:p w14:paraId="6E613740" w14:textId="77777777" w:rsidR="00CB484E" w:rsidRPr="00C4379E" w:rsidRDefault="00CB484E" w:rsidP="00E70A73">
            <w:r w:rsidRPr="00C4379E">
              <w:t xml:space="preserve">For study/evaluation </w:t>
            </w:r>
            <w:r>
              <w:rPr>
                <w:rFonts w:eastAsiaTheme="minorEastAsia" w:hint="eastAsia"/>
                <w:lang w:eastAsia="zh-CN"/>
              </w:rPr>
              <w:t xml:space="preserve">of the performance and </w:t>
            </w:r>
            <w:r>
              <w:rPr>
                <w:rFonts w:eastAsiaTheme="minorEastAsia"/>
                <w:lang w:eastAsia="zh-CN"/>
              </w:rPr>
              <w:t>feasibility</w:t>
            </w:r>
            <w:r>
              <w:rPr>
                <w:rFonts w:eastAsiaTheme="minorEastAsia" w:hint="eastAsia"/>
                <w:lang w:eastAsia="zh-CN"/>
              </w:rPr>
              <w:t xml:space="preserve"> </w:t>
            </w:r>
            <w:r w:rsidRPr="00C4379E">
              <w:t xml:space="preserve">of AI/ML use cases in 6GR, </w:t>
            </w:r>
            <w:r>
              <w:t>at least</w:t>
            </w:r>
            <w:r>
              <w:rPr>
                <w:rFonts w:eastAsiaTheme="minorEastAsia" w:hint="eastAsia"/>
                <w:lang w:eastAsia="zh-CN"/>
              </w:rPr>
              <w:t xml:space="preserve"> the following </w:t>
            </w:r>
            <w:r>
              <w:t>may be considered</w:t>
            </w:r>
          </w:p>
          <w:p w14:paraId="2291795B" w14:textId="77777777" w:rsidR="00CB484E" w:rsidRDefault="00CB484E" w:rsidP="00E70A73">
            <w:pPr>
              <w:pStyle w:val="a6"/>
              <w:widowControl/>
              <w:numPr>
                <w:ilvl w:val="1"/>
                <w:numId w:val="8"/>
              </w:numPr>
              <w:wordWrap/>
              <w:autoSpaceDE/>
              <w:autoSpaceDN/>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41E954AD" w14:textId="77777777" w:rsidR="00CB484E" w:rsidRPr="00CA1238" w:rsidRDefault="00CB484E" w:rsidP="00E70A73">
            <w:pPr>
              <w:pStyle w:val="a6"/>
              <w:widowControl/>
              <w:numPr>
                <w:ilvl w:val="1"/>
                <w:numId w:val="8"/>
              </w:numPr>
              <w:wordWrap/>
              <w:autoSpaceDE/>
              <w:autoSpaceDN/>
            </w:pPr>
            <w:r w:rsidRPr="00CA1238">
              <w:t xml:space="preserve">Computation complexity/latency (inference/monitoring) </w:t>
            </w:r>
          </w:p>
          <w:p w14:paraId="2F6248AA" w14:textId="77777777" w:rsidR="00CB484E" w:rsidRPr="00CA1238" w:rsidRDefault="00CB484E" w:rsidP="00E70A73">
            <w:pPr>
              <w:pStyle w:val="a6"/>
              <w:widowControl/>
              <w:numPr>
                <w:ilvl w:val="1"/>
                <w:numId w:val="8"/>
              </w:numPr>
              <w:wordWrap/>
              <w:autoSpaceDE/>
              <w:autoSpaceDN/>
            </w:pPr>
            <w:r w:rsidRPr="00CA1238">
              <w:t xml:space="preserve">Power consumption, if </w:t>
            </w:r>
            <w:r w:rsidRPr="00CA1238">
              <w:rPr>
                <w:rFonts w:eastAsiaTheme="minorEastAsia" w:hint="eastAsia"/>
                <w:lang w:eastAsia="zh-CN"/>
              </w:rPr>
              <w:t>feasible</w:t>
            </w:r>
            <w:r>
              <w:rPr>
                <w:rFonts w:eastAsiaTheme="minorEastAsia" w:hint="eastAsia"/>
                <w:lang w:eastAsia="zh-CN"/>
              </w:rPr>
              <w:t xml:space="preserve"> to evaluate</w:t>
            </w:r>
          </w:p>
          <w:p w14:paraId="688A7719" w14:textId="77777777" w:rsidR="00CB484E" w:rsidRDefault="00CB484E" w:rsidP="00E70A73">
            <w:pPr>
              <w:pStyle w:val="a6"/>
              <w:widowControl/>
              <w:numPr>
                <w:ilvl w:val="1"/>
                <w:numId w:val="8"/>
              </w:numPr>
              <w:wordWrap/>
              <w:autoSpaceDE/>
              <w:autoSpaceDN/>
            </w:pPr>
            <w:r>
              <w:rPr>
                <w:rFonts w:eastAsiaTheme="minorEastAsia" w:hint="eastAsia"/>
                <w:lang w:eastAsia="zh-CN"/>
              </w:rPr>
              <w:t>Model size</w:t>
            </w:r>
          </w:p>
          <w:p w14:paraId="2307F604" w14:textId="77777777" w:rsidR="00CB484E" w:rsidRDefault="00CB484E" w:rsidP="00E70A73">
            <w:pPr>
              <w:pStyle w:val="a6"/>
              <w:widowControl/>
              <w:numPr>
                <w:ilvl w:val="1"/>
                <w:numId w:val="8"/>
              </w:numPr>
              <w:wordWrap/>
              <w:autoSpaceDE/>
              <w:autoSpaceDN/>
            </w:pPr>
            <w:r>
              <w:t>Data collection impact</w:t>
            </w:r>
          </w:p>
          <w:p w14:paraId="0375BB91" w14:textId="77777777" w:rsidR="00CB484E" w:rsidRDefault="00CB484E" w:rsidP="00E70A73">
            <w:pPr>
              <w:pStyle w:val="a6"/>
              <w:widowControl/>
              <w:numPr>
                <w:ilvl w:val="1"/>
                <w:numId w:val="8"/>
              </w:numPr>
              <w:wordWrap/>
              <w:autoSpaceDE/>
              <w:autoSpaceDN/>
            </w:pPr>
            <w:r>
              <w:rPr>
                <w:rFonts w:eastAsiaTheme="minorEastAsia"/>
              </w:rPr>
              <w:t>S</w:t>
            </w:r>
            <w:r w:rsidRPr="00C4379E">
              <w:rPr>
                <w:rFonts w:eastAsiaTheme="minorEastAsia" w:hint="eastAsia"/>
              </w:rPr>
              <w:t>calability</w:t>
            </w:r>
            <w:r>
              <w:rPr>
                <w:rFonts w:eastAsiaTheme="minorEastAsia"/>
              </w:rPr>
              <w:t xml:space="preserve"> (refer to </w:t>
            </w:r>
            <w:r>
              <w:rPr>
                <w:rFonts w:eastAsiaTheme="minorEastAsia" w:hint="eastAsia"/>
                <w:lang w:eastAsia="zh-CN"/>
              </w:rPr>
              <w:t xml:space="preserve">the examples in </w:t>
            </w:r>
            <w:r>
              <w:rPr>
                <w:rFonts w:eastAsiaTheme="minorEastAsia"/>
              </w:rPr>
              <w:t>TR 38.843)</w:t>
            </w:r>
          </w:p>
          <w:p w14:paraId="56A9616C" w14:textId="77777777" w:rsidR="00CB484E" w:rsidRPr="00C4379E" w:rsidRDefault="00CB484E" w:rsidP="00E70A73">
            <w:pPr>
              <w:pStyle w:val="a6"/>
              <w:widowControl/>
              <w:numPr>
                <w:ilvl w:val="1"/>
                <w:numId w:val="8"/>
              </w:numPr>
              <w:wordWrap/>
              <w:autoSpaceDE/>
              <w:autoSpaceDN/>
            </w:pPr>
            <w:r w:rsidRPr="00C4379E">
              <w:t xml:space="preserve">Generalization performance </w:t>
            </w:r>
          </w:p>
          <w:p w14:paraId="3B0B4B78" w14:textId="77777777" w:rsidR="00CB484E" w:rsidRPr="00C4379E" w:rsidRDefault="00CB484E" w:rsidP="00E70A73">
            <w:pPr>
              <w:pStyle w:val="a6"/>
              <w:widowControl/>
              <w:numPr>
                <w:ilvl w:val="2"/>
                <w:numId w:val="8"/>
              </w:numPr>
              <w:wordWrap/>
              <w:autoSpaceDE/>
              <w:autoSpaceDN/>
            </w:pPr>
            <w:r w:rsidRPr="00C4379E">
              <w:t>FFS on whether and how to consider realistic deployment scenarios</w:t>
            </w:r>
          </w:p>
          <w:p w14:paraId="3B5B0F43" w14:textId="77777777" w:rsidR="00CB484E" w:rsidRPr="00905FAB" w:rsidRDefault="00CB484E" w:rsidP="00E70A73">
            <w:pPr>
              <w:pStyle w:val="a6"/>
              <w:widowControl/>
              <w:numPr>
                <w:ilvl w:val="1"/>
                <w:numId w:val="8"/>
              </w:numPr>
              <w:wordWrap/>
              <w:autoSpaceDE/>
              <w:autoSpaceDN/>
            </w:pPr>
            <w:r>
              <w:rPr>
                <w:rFonts w:eastAsiaTheme="minorEastAsia" w:hint="eastAsia"/>
                <w:lang w:eastAsia="zh-CN"/>
              </w:rPr>
              <w:t>O</w:t>
            </w:r>
            <w:r w:rsidRPr="00C4379E">
              <w:t>verhead</w:t>
            </w:r>
            <w:r>
              <w:rPr>
                <w:rFonts w:eastAsiaTheme="minorEastAsia" w:hint="eastAsia"/>
                <w:lang w:eastAsia="zh-CN"/>
              </w:rPr>
              <w:t>/complexity</w:t>
            </w:r>
            <w:r w:rsidRPr="00C4379E">
              <w:t xml:space="preserve"> associated with</w:t>
            </w:r>
            <w:r>
              <w:t xml:space="preserve"> data collection, </w:t>
            </w:r>
            <w:r w:rsidRPr="00C4379E">
              <w:t>inferencing, performance monitoring, online</w:t>
            </w:r>
            <w:r>
              <w:t>/</w:t>
            </w:r>
            <w:r w:rsidRPr="00905FAB">
              <w:t>site specific</w:t>
            </w:r>
            <w:r w:rsidRPr="00C4379E">
              <w:t xml:space="preserve"> fine-</w:t>
            </w:r>
            <w:r w:rsidRPr="00905FAB">
              <w:t xml:space="preserve">tuning, inter-vendor collaboration (if </w:t>
            </w:r>
            <w:r>
              <w:rPr>
                <w:rFonts w:eastAsiaTheme="minorEastAsia" w:hint="eastAsia"/>
                <w:lang w:eastAsia="zh-CN"/>
              </w:rPr>
              <w:t>applicable</w:t>
            </w:r>
            <w:r w:rsidRPr="00905FAB">
              <w:t>)</w:t>
            </w:r>
          </w:p>
          <w:p w14:paraId="2F6560EC" w14:textId="77777777" w:rsidR="00CB484E" w:rsidRDefault="00CB484E" w:rsidP="00E70A73">
            <w:pPr>
              <w:pStyle w:val="a6"/>
              <w:widowControl/>
              <w:numPr>
                <w:ilvl w:val="1"/>
                <w:numId w:val="8"/>
              </w:numPr>
              <w:wordWrap/>
              <w:autoSpaceDE/>
              <w:autoSpaceDN/>
            </w:pPr>
            <w:r>
              <w:t>O</w:t>
            </w:r>
            <w:r w:rsidRPr="00C4379E">
              <w:t>nline training/fine-tuning</w:t>
            </w:r>
            <w:r>
              <w:t xml:space="preserve"> t</w:t>
            </w:r>
            <w:r w:rsidRPr="00C4379E">
              <w:t>raining latency</w:t>
            </w:r>
            <w:r>
              <w:rPr>
                <w:rFonts w:eastAsiaTheme="minorEastAsia" w:hint="eastAsia"/>
                <w:lang w:eastAsia="zh-CN"/>
              </w:rPr>
              <w:t>, if feasible to evaluate</w:t>
            </w:r>
          </w:p>
          <w:p w14:paraId="5F440092" w14:textId="77777777" w:rsidR="00CB484E" w:rsidRDefault="00CB484E" w:rsidP="00E70A73">
            <w:pPr>
              <w:pStyle w:val="a6"/>
              <w:widowControl/>
              <w:numPr>
                <w:ilvl w:val="1"/>
                <w:numId w:val="8"/>
              </w:numPr>
              <w:wordWrap/>
              <w:autoSpaceDE/>
              <w:autoSpaceDN/>
            </w:pPr>
            <w:r>
              <w:t>I</w:t>
            </w:r>
            <w:r w:rsidRPr="00C4379E">
              <w:t>nter-vendor collaboration</w:t>
            </w:r>
            <w:r>
              <w:t xml:space="preserve"> impact</w:t>
            </w:r>
            <w:r w:rsidRPr="00C4379E">
              <w:t xml:space="preserve">, </w:t>
            </w:r>
            <w:r>
              <w:t>if</w:t>
            </w:r>
            <w:r w:rsidRPr="00C4379E">
              <w:t xml:space="preserve"> </w:t>
            </w:r>
            <w:r>
              <w:rPr>
                <w:rFonts w:eastAsiaTheme="minorEastAsia" w:hint="eastAsia"/>
                <w:lang w:eastAsia="zh-CN"/>
              </w:rPr>
              <w:t>applicable</w:t>
            </w:r>
          </w:p>
          <w:p w14:paraId="4ED6BBC7" w14:textId="77777777" w:rsidR="00CB484E" w:rsidRDefault="00CB484E" w:rsidP="00E70A73">
            <w:r w:rsidRPr="00C4379E">
              <w:t xml:space="preserve">Note: </w:t>
            </w:r>
            <w:r>
              <w:rPr>
                <w:rFonts w:eastAsiaTheme="minorEastAsia"/>
              </w:rPr>
              <w:t>Details</w:t>
            </w:r>
            <w:r w:rsidRPr="00C4379E">
              <w:t xml:space="preserve"> to be discussed per use case.</w:t>
            </w:r>
          </w:p>
          <w:p w14:paraId="1EEE99DC" w14:textId="77777777" w:rsidR="00CB484E" w:rsidRPr="00C4379E" w:rsidRDefault="00CB484E" w:rsidP="00E70A73">
            <w:r>
              <w:t xml:space="preserve">Note: </w:t>
            </w:r>
            <w:r>
              <w:rPr>
                <w:rFonts w:eastAsiaTheme="minorEastAsia" w:hint="eastAsia"/>
                <w:lang w:eastAsia="zh-CN"/>
              </w:rPr>
              <w:t xml:space="preserve">above </w:t>
            </w:r>
            <w:r>
              <w:rPr>
                <w:rFonts w:eastAsiaTheme="minorEastAsia"/>
                <w:lang w:eastAsia="zh-CN"/>
              </w:rPr>
              <w:t>aspects</w:t>
            </w:r>
            <w:r>
              <w:rPr>
                <w:rFonts w:eastAsiaTheme="minorEastAsia" w:hint="eastAsia"/>
                <w:lang w:eastAsia="zh-CN"/>
              </w:rPr>
              <w:t xml:space="preserve"> </w:t>
            </w:r>
            <w:r>
              <w:t xml:space="preserve">may be </w:t>
            </w:r>
            <w:r>
              <w:rPr>
                <w:rFonts w:eastAsiaTheme="minorEastAsia" w:hint="eastAsia"/>
                <w:lang w:eastAsia="zh-CN"/>
              </w:rPr>
              <w:t xml:space="preserve">considered </w:t>
            </w:r>
            <w:r>
              <w:t>for both AI/ML and non-</w:t>
            </w:r>
            <w:r>
              <w:rPr>
                <w:rFonts w:hint="eastAsia"/>
              </w:rPr>
              <w:t>AI</w:t>
            </w:r>
            <w:r>
              <w:t xml:space="preserve"> counter part</w:t>
            </w:r>
          </w:p>
          <w:p w14:paraId="42915B39" w14:textId="77777777" w:rsidR="00CB484E" w:rsidRPr="003547B0" w:rsidRDefault="00CB484E" w:rsidP="00E70A73">
            <w:pPr>
              <w:rPr>
                <w:rFonts w:eastAsiaTheme="minorEastAsia"/>
                <w:b/>
                <w:i/>
                <w:highlight w:val="green"/>
              </w:rPr>
            </w:pPr>
          </w:p>
          <w:p w14:paraId="5D656C6D" w14:textId="77777777" w:rsidR="00CB484E" w:rsidRPr="003547B0" w:rsidRDefault="00CB484E" w:rsidP="00E70A73">
            <w:pPr>
              <w:rPr>
                <w:rFonts w:eastAsiaTheme="minorEastAsia"/>
              </w:rPr>
            </w:pPr>
            <w:r w:rsidRPr="003547B0">
              <w:rPr>
                <w:rFonts w:eastAsia="DengXian" w:hint="eastAsia"/>
                <w:highlight w:val="green"/>
                <w:lang w:eastAsia="zh-CN"/>
              </w:rPr>
              <w:t>Observation</w:t>
            </w:r>
            <w:r w:rsidRPr="003547B0">
              <w:rPr>
                <w:rFonts w:eastAsia="DengXian"/>
                <w:highlight w:val="green"/>
                <w:lang w:eastAsia="zh-CN"/>
              </w:rPr>
              <w:t xml:space="preserve"> captured in RAN1#123 meeting</w:t>
            </w:r>
          </w:p>
          <w:p w14:paraId="16FD7FD2" w14:textId="77777777" w:rsidR="00CB484E" w:rsidRDefault="00CB484E" w:rsidP="00E70A73">
            <w:r>
              <w:t>For 6GR AI/ML use cases identification</w:t>
            </w:r>
            <w:r>
              <w:rPr>
                <w:rFonts w:eastAsia="DengXian" w:hint="eastAsia"/>
              </w:rPr>
              <w:t>/</w:t>
            </w:r>
            <w:r>
              <w:rPr>
                <w:rFonts w:eastAsia="DengXian"/>
              </w:rPr>
              <w:t>categorization</w:t>
            </w:r>
            <w:r>
              <w:t xml:space="preserve">, [23 sources] provided preliminary simulation results and </w:t>
            </w:r>
            <w:r>
              <w:lastRenderedPageBreak/>
              <w:t>analysis on low overhead DMRS with AI/ML receiver.</w:t>
            </w:r>
          </w:p>
          <w:p w14:paraId="161D5630" w14:textId="77777777" w:rsidR="00CB484E" w:rsidRDefault="00CB484E" w:rsidP="00E70A73">
            <w:pPr>
              <w:pStyle w:val="a6"/>
              <w:widowControl/>
              <w:numPr>
                <w:ilvl w:val="0"/>
                <w:numId w:val="7"/>
              </w:numPr>
              <w:wordWrap/>
              <w:autoSpaceDE/>
              <w:autoSpaceDN/>
            </w:pPr>
            <w:r>
              <w:t xml:space="preserve">[25 sources] provided preliminary simulation results and analysis on sparse orthogonal DMRS in frequency and/or time domain with AI/ML receiver. </w:t>
            </w:r>
          </w:p>
          <w:p w14:paraId="7E801A11" w14:textId="77777777" w:rsidR="00CB484E" w:rsidRDefault="00CB484E" w:rsidP="00E70A73">
            <w:pPr>
              <w:pStyle w:val="a6"/>
              <w:widowControl/>
              <w:numPr>
                <w:ilvl w:val="0"/>
                <w:numId w:val="7"/>
              </w:numPr>
              <w:wordWrap/>
              <w:autoSpaceDE/>
              <w:autoSpaceDN/>
            </w:pPr>
            <w:r>
              <w:t xml:space="preserve">[12 sources] provided preliminary simulation results and analysis on superimposed pilot with AI/ML receiver. </w:t>
            </w:r>
          </w:p>
          <w:p w14:paraId="13750BF1" w14:textId="77777777" w:rsidR="00CB484E" w:rsidRDefault="00CB484E" w:rsidP="00E70A73">
            <w:pPr>
              <w:pStyle w:val="a6"/>
              <w:widowControl/>
              <w:numPr>
                <w:ilvl w:val="0"/>
                <w:numId w:val="7"/>
              </w:numPr>
              <w:wordWrap/>
              <w:autoSpaceDE/>
              <w:autoSpaceDN/>
            </w:pPr>
            <w:r>
              <w:t xml:space="preserve">[9 sources] provided preliminary simulation results and analysis on </w:t>
            </w:r>
            <w:r>
              <w:rPr>
                <w:rFonts w:hint="eastAsia"/>
              </w:rPr>
              <w:t>DMRS</w:t>
            </w:r>
            <w:r>
              <w:t xml:space="preserve"> free with AI/ML receiver. </w:t>
            </w:r>
          </w:p>
          <w:p w14:paraId="0C57E981" w14:textId="77777777" w:rsidR="00CB484E" w:rsidRDefault="00CB484E" w:rsidP="00E70A73">
            <w:pPr>
              <w:pStyle w:val="a6"/>
              <w:widowControl/>
              <w:numPr>
                <w:ilvl w:val="0"/>
                <w:numId w:val="7"/>
              </w:numPr>
              <w:wordWrap/>
              <w:autoSpaceDE/>
              <w:autoSpaceDN/>
            </w:pPr>
            <w:r>
              <w:t xml:space="preserve">Detailed evaluation assumptions (model input/output/label/benchmark/KPI/ training type) and initial analysis can be found in Table C. </w:t>
            </w:r>
          </w:p>
          <w:p w14:paraId="23A5C23F" w14:textId="77777777" w:rsidR="00CB484E" w:rsidRDefault="00CB484E" w:rsidP="00E70A73">
            <w:r>
              <w:t>Note: whether/how to capture the observation in the TR is a separate discussion.</w:t>
            </w:r>
          </w:p>
          <w:p w14:paraId="2919B032" w14:textId="77777777" w:rsidR="00CB484E" w:rsidRDefault="00CB484E" w:rsidP="00E70A73">
            <w:pPr>
              <w:rPr>
                <w:rFonts w:eastAsia="DengXian"/>
              </w:rPr>
            </w:pPr>
          </w:p>
          <w:p w14:paraId="598948AD" w14:textId="77777777" w:rsidR="00CB484E" w:rsidRDefault="00CB484E" w:rsidP="00E70A73">
            <w:r>
              <w:t>Table C For low overhead DMRS with AI/ML receiver</w:t>
            </w:r>
          </w:p>
          <w:tbl>
            <w:tblPr>
              <w:tblStyle w:val="TableGrid1"/>
              <w:tblW w:w="5000" w:type="pct"/>
              <w:tblLook w:val="04A0" w:firstRow="1" w:lastRow="0" w:firstColumn="1" w:lastColumn="0" w:noHBand="0" w:noVBand="1"/>
            </w:tblPr>
            <w:tblGrid>
              <w:gridCol w:w="4182"/>
              <w:gridCol w:w="2091"/>
              <w:gridCol w:w="1794"/>
              <w:gridCol w:w="1443"/>
            </w:tblGrid>
            <w:tr w:rsidR="00CB484E" w14:paraId="07A13F85" w14:textId="77777777" w:rsidTr="00BD6BAB">
              <w:trPr>
                <w:trHeight w:val="809"/>
              </w:trPr>
              <w:tc>
                <w:tcPr>
                  <w:tcW w:w="784" w:type="pct"/>
                  <w:shd w:val="clear" w:color="auto" w:fill="BFBFBF" w:themeFill="background1" w:themeFillShade="BF"/>
                  <w:noWrap/>
                </w:tcPr>
                <w:p w14:paraId="02B5FEE0" w14:textId="77777777" w:rsidR="00CB484E" w:rsidRDefault="00CB484E" w:rsidP="00E70A73">
                  <w:r>
                    <w:t>Sub-use case</w:t>
                  </w:r>
                </w:p>
              </w:tc>
              <w:tc>
                <w:tcPr>
                  <w:tcW w:w="1571" w:type="pct"/>
                  <w:shd w:val="clear" w:color="auto" w:fill="BFBFBF" w:themeFill="background1" w:themeFillShade="BF"/>
                </w:tcPr>
                <w:p w14:paraId="1AFF8BAD" w14:textId="77777777" w:rsidR="00CB484E" w:rsidRDefault="00CB484E" w:rsidP="00E70A73">
                  <w:r>
                    <w:t xml:space="preserve">Sub-case A: </w:t>
                  </w:r>
                </w:p>
                <w:p w14:paraId="589E3D72" w14:textId="77777777" w:rsidR="00CB484E" w:rsidRDefault="00CB484E" w:rsidP="00E70A73">
                  <w:r>
                    <w:t>Sparse orthogonal DMRS in frequency and/or time domain</w:t>
                  </w:r>
                </w:p>
              </w:tc>
              <w:tc>
                <w:tcPr>
                  <w:tcW w:w="1415" w:type="pct"/>
                  <w:shd w:val="clear" w:color="auto" w:fill="BFBFBF" w:themeFill="background1" w:themeFillShade="BF"/>
                </w:tcPr>
                <w:p w14:paraId="49A827D7" w14:textId="77777777" w:rsidR="00CB484E" w:rsidRDefault="00CB484E" w:rsidP="00E70A73">
                  <w:r>
                    <w:t>Sub-case B:</w:t>
                  </w:r>
                </w:p>
                <w:p w14:paraId="530D2C62" w14:textId="77777777" w:rsidR="00CB484E" w:rsidRDefault="00CB484E" w:rsidP="00E70A73">
                  <w:r>
                    <w:t>Superimposed pilot</w:t>
                  </w:r>
                </w:p>
              </w:tc>
              <w:tc>
                <w:tcPr>
                  <w:tcW w:w="1230" w:type="pct"/>
                  <w:shd w:val="clear" w:color="auto" w:fill="BFBFBF" w:themeFill="background1" w:themeFillShade="BF"/>
                </w:tcPr>
                <w:p w14:paraId="3B6C9E2B" w14:textId="77777777" w:rsidR="00CB484E" w:rsidRDefault="00CB484E" w:rsidP="00E70A73">
                  <w:r>
                    <w:t xml:space="preserve">Sub-case C: </w:t>
                  </w:r>
                </w:p>
                <w:p w14:paraId="50FCA70B" w14:textId="77777777" w:rsidR="00CB484E" w:rsidRDefault="00CB484E" w:rsidP="00E70A73">
                  <w:r>
                    <w:t>DMRS free</w:t>
                  </w:r>
                </w:p>
              </w:tc>
            </w:tr>
            <w:tr w:rsidR="00CB484E" w:rsidRPr="00E70A73" w14:paraId="4AB9E74D" w14:textId="77777777" w:rsidTr="00BD6BAB">
              <w:trPr>
                <w:trHeight w:val="683"/>
              </w:trPr>
              <w:tc>
                <w:tcPr>
                  <w:tcW w:w="784" w:type="pct"/>
                  <w:shd w:val="clear" w:color="auto" w:fill="B3E5A1" w:themeFill="accent6" w:themeFillTint="66"/>
                  <w:noWrap/>
                </w:tcPr>
                <w:p w14:paraId="500E81B8" w14:textId="77777777" w:rsidR="00CB484E" w:rsidRDefault="00CB484E" w:rsidP="00E70A73">
                  <w:r>
                    <w:t>Reported companies</w:t>
                  </w:r>
                </w:p>
              </w:tc>
              <w:tc>
                <w:tcPr>
                  <w:tcW w:w="1571" w:type="pct"/>
                  <w:shd w:val="clear" w:color="auto" w:fill="B3E5A1" w:themeFill="accent6" w:themeFillTint="66"/>
                </w:tcPr>
                <w:p w14:paraId="579356B8" w14:textId="77777777" w:rsidR="00CB484E" w:rsidRPr="00DE41DB" w:rsidRDefault="00CB484E" w:rsidP="00E70A73">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eastAsia="SimSun" w:hint="eastAsia"/>
                    </w:rPr>
                    <w:t>BJTU</w:t>
                  </w:r>
                  <w:r>
                    <w:rPr>
                      <w:rFonts w:eastAsia="SimSun" w:hint="eastAsia"/>
                      <w:vertAlign w:val="superscript"/>
                    </w:rPr>
                    <w:t>24</w:t>
                  </w:r>
                  <w:r>
                    <w:rPr>
                      <w:rFonts w:eastAsia="SimSun"/>
                    </w:rPr>
                    <w:t>, IIT Kanpur</w:t>
                  </w:r>
                  <w:r>
                    <w:rPr>
                      <w:rFonts w:eastAsia="SimSun"/>
                      <w:vertAlign w:val="superscript"/>
                    </w:rPr>
                    <w:t>25</w:t>
                  </w:r>
                </w:p>
              </w:tc>
              <w:tc>
                <w:tcPr>
                  <w:tcW w:w="1415" w:type="pct"/>
                  <w:shd w:val="clear" w:color="auto" w:fill="B3E5A1" w:themeFill="accent6" w:themeFillTint="66"/>
                </w:tcPr>
                <w:p w14:paraId="4A72B9BE" w14:textId="77777777" w:rsidR="00CB484E" w:rsidRDefault="00CB484E" w:rsidP="00E70A73">
                  <w:pPr>
                    <w:rPr>
                      <w:rFonts w:eastAsia="SimSun"/>
                      <w:lang w:val="pt-BR"/>
                    </w:rPr>
                  </w:pPr>
                  <w:r>
                    <w:rPr>
                      <w:lang w:val="pt-BR"/>
                    </w:rPr>
                    <w:t>(</w:t>
                  </w:r>
                  <w:r w:rsidRPr="00E046F8">
                    <w:rPr>
                      <w:rFonts w:eastAsia="SimSun"/>
                      <w:lang w:val="pt-BR"/>
                    </w:rPr>
                    <w:t>12</w:t>
                  </w:r>
                  <w:r>
                    <w:rPr>
                      <w:lang w:val="pt-BR"/>
                    </w:rPr>
                    <w:t xml:space="preserve">) </w:t>
                  </w:r>
                  <w:r>
                    <w:rPr>
                      <w:rFonts w:eastAsiaTheme="minorEastAsia"/>
                      <w:lang w:val="pt-BR"/>
                    </w:rPr>
                    <w:t>vivo</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SimSun"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DocoMo</w:t>
                  </w:r>
                  <w:r w:rsidRPr="00E046F8">
                    <w:rPr>
                      <w:vertAlign w:val="superscript"/>
                      <w:lang w:val="pt-BR"/>
                    </w:rPr>
                    <w:t>11</w:t>
                  </w:r>
                  <w:r w:rsidRPr="004913EF">
                    <w:rPr>
                      <w:lang w:val="pt-BR"/>
                    </w:rPr>
                    <w:t xml:space="preserve">,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B3E5A1" w:themeFill="accent6" w:themeFillTint="66"/>
                </w:tcPr>
                <w:p w14:paraId="2E4C9341" w14:textId="77777777" w:rsidR="00CB484E" w:rsidRPr="00F95EB7" w:rsidRDefault="00CB484E" w:rsidP="00E70A73">
                  <w:pPr>
                    <w:rPr>
                      <w:rFonts w:eastAsia="SimSun"/>
                      <w:vertAlign w:val="superscript"/>
                      <w:lang w:val="pt-BR"/>
                    </w:rPr>
                  </w:pPr>
                  <w:r>
                    <w:rPr>
                      <w:lang w:val="de-DE"/>
                    </w:rPr>
                    <w:t>(9)</w:t>
                  </w:r>
                  <w:r w:rsidRPr="00E046F8">
                    <w:rPr>
                      <w:rFonts w:eastAsia="SimSun"/>
                      <w:lang w:val="pt-BR"/>
                    </w:rPr>
                    <w:t xml:space="preserve"> BJTU</w:t>
                  </w:r>
                  <w:r w:rsidRPr="00E046F8">
                    <w:rPr>
                      <w:rFonts w:eastAsia="SimSun"/>
                      <w:vertAlign w:val="superscript"/>
                      <w:lang w:val="pt-BR"/>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p>
              </w:tc>
            </w:tr>
            <w:tr w:rsidR="00CB484E" w14:paraId="124AEA65" w14:textId="77777777" w:rsidTr="00BD6BAB">
              <w:trPr>
                <w:trHeight w:val="399"/>
              </w:trPr>
              <w:tc>
                <w:tcPr>
                  <w:tcW w:w="784" w:type="pct"/>
                  <w:noWrap/>
                </w:tcPr>
                <w:p w14:paraId="58EB41C6" w14:textId="77777777" w:rsidR="00CB484E" w:rsidRDefault="00CB484E" w:rsidP="00E70A73">
                  <w:r>
                    <w:t>Model input</w:t>
                  </w:r>
                </w:p>
              </w:tc>
              <w:tc>
                <w:tcPr>
                  <w:tcW w:w="1571" w:type="pct"/>
                </w:tcPr>
                <w:p w14:paraId="544729BC" w14:textId="77777777" w:rsidR="00CB484E" w:rsidRDefault="00CB484E" w:rsidP="00E70A73">
                  <w:r>
                    <w:t xml:space="preserve">1. </w:t>
                  </w:r>
                  <w:r>
                    <w:rPr>
                      <w:rFonts w:eastAsia="바탕"/>
                      <w:color w:val="000000"/>
                    </w:rPr>
                    <w:t>R</w:t>
                  </w:r>
                  <w:r>
                    <w:rPr>
                      <w:rFonts w:eastAsia="바탕" w:hint="eastAsia"/>
                      <w:color w:val="000000"/>
                    </w:rPr>
                    <w:t>eceived</w:t>
                  </w:r>
                  <w:r>
                    <w:t xml:space="preserve"> signal/estimated channel at DMRS and/or data REs and received signal on data </w:t>
                  </w:r>
                  <w:r>
                    <w:rPr>
                      <w:vertAlign w:val="superscript"/>
                    </w:rPr>
                    <w:t>1,2,6,13, 22,15,3,17,10,4, 20,6,18,23,19,8,</w:t>
                  </w:r>
                  <w:r>
                    <w:rPr>
                      <w:rFonts w:eastAsia="SimSun" w:hint="eastAsia"/>
                      <w:vertAlign w:val="superscript"/>
                    </w:rPr>
                    <w:t xml:space="preserve"> 24</w:t>
                  </w:r>
                </w:p>
                <w:p w14:paraId="49190536" w14:textId="77777777" w:rsidR="00CB484E" w:rsidRDefault="00CB484E" w:rsidP="00E70A73">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eastAsia="SimSun" w:hint="eastAsia"/>
                      <w:vertAlign w:val="superscript"/>
                    </w:rPr>
                    <w:t>24</w:t>
                  </w:r>
                </w:p>
                <w:p w14:paraId="5FE9C261" w14:textId="77777777" w:rsidR="00CB484E" w:rsidRDefault="00CB484E" w:rsidP="00E70A73"/>
                <w:p w14:paraId="25D2F44F" w14:textId="77777777" w:rsidR="00CB484E" w:rsidRDefault="00CB484E" w:rsidP="00E70A73">
                  <w:pPr>
                    <w:rPr>
                      <w:vertAlign w:val="superscript"/>
                    </w:rPr>
                  </w:pPr>
                  <w:r>
                    <w:t>2. Received signal/estimated channel at DMRS</w:t>
                  </w:r>
                  <w:r>
                    <w:rPr>
                      <w:vertAlign w:val="superscript"/>
                    </w:rPr>
                    <w:t xml:space="preserve">2,7, </w:t>
                  </w:r>
                  <w:r>
                    <w:rPr>
                      <w:rFonts w:eastAsia="SimSun" w:hint="eastAsia"/>
                      <w:vertAlign w:val="superscript"/>
                    </w:rPr>
                    <w:t>8</w:t>
                  </w:r>
                  <w:r>
                    <w:rPr>
                      <w:rFonts w:eastAsia="SimSun"/>
                      <w:vertAlign w:val="superscript"/>
                    </w:rPr>
                    <w:t>,</w:t>
                  </w:r>
                  <w:r>
                    <w:rPr>
                      <w:vertAlign w:val="superscript"/>
                    </w:rPr>
                    <w:t>11,12,13,16,5,23,25</w:t>
                  </w:r>
                </w:p>
                <w:p w14:paraId="28F331D9" w14:textId="77777777" w:rsidR="00CB484E" w:rsidRDefault="00CB484E" w:rsidP="00E70A73"/>
              </w:tc>
              <w:tc>
                <w:tcPr>
                  <w:tcW w:w="1415" w:type="pct"/>
                </w:tcPr>
                <w:p w14:paraId="14CC1FAF" w14:textId="77777777" w:rsidR="00CB484E" w:rsidRDefault="00CB484E" w:rsidP="00E70A73">
                  <w:pPr>
                    <w:rPr>
                      <w:vertAlign w:val="superscript"/>
                    </w:rPr>
                  </w:pPr>
                  <w:r>
                    <w:t xml:space="preserve">1. </w:t>
                  </w:r>
                  <w:r>
                    <w:rPr>
                      <w:rFonts w:eastAsia="바탕" w:hint="eastAsia"/>
                      <w:color w:val="000000"/>
                    </w:rPr>
                    <w:t>Received</w:t>
                  </w:r>
                  <w:r>
                    <w:t xml:space="preserve"> signal </w:t>
                  </w:r>
                  <w:r>
                    <w:rPr>
                      <w:rFonts w:hint="eastAsia"/>
                    </w:rPr>
                    <w:t xml:space="preserve">and DMRS sequence </w:t>
                  </w:r>
                  <w:r>
                    <w:t>(superimposed signal) (Majority)</w:t>
                  </w:r>
                </w:p>
                <w:p w14:paraId="75E84BD8" w14:textId="77777777" w:rsidR="00CB484E" w:rsidRDefault="00CB484E" w:rsidP="00E70A73">
                  <w:pPr>
                    <w:rPr>
                      <w:vertAlign w:val="superscript"/>
                    </w:rPr>
                  </w:pPr>
                  <w:r>
                    <w:t xml:space="preserve">2. Estimated channel (in delay and/or doppler domain) </w:t>
                  </w:r>
                  <w:r>
                    <w:rPr>
                      <w:rFonts w:eastAsia="바탕"/>
                      <w:color w:val="000000"/>
                    </w:rPr>
                    <w:t>from the received</w:t>
                  </w:r>
                  <w:r>
                    <w:t xml:space="preserve"> signal (superimposed signal)</w:t>
                  </w:r>
                  <w:r>
                    <w:rPr>
                      <w:vertAlign w:val="superscript"/>
                    </w:rPr>
                    <w:t xml:space="preserve"> 1</w:t>
                  </w:r>
                </w:p>
                <w:p w14:paraId="6BB2A46A" w14:textId="77777777" w:rsidR="00CB484E" w:rsidRDefault="00CB484E" w:rsidP="00E70A73"/>
                <w:p w14:paraId="3F5A5598" w14:textId="77777777" w:rsidR="00CB484E" w:rsidRDefault="00CB484E" w:rsidP="00E70A73">
                  <w:r>
                    <w:t>For Tx side of two-sided model: modulated symbols and DMRS symbol</w:t>
                  </w:r>
                  <w:r>
                    <w:rPr>
                      <w:vertAlign w:val="superscript"/>
                    </w:rPr>
                    <w:t>5</w:t>
                  </w:r>
                </w:p>
              </w:tc>
              <w:tc>
                <w:tcPr>
                  <w:tcW w:w="1230" w:type="pct"/>
                </w:tcPr>
                <w:p w14:paraId="07926F08" w14:textId="77777777" w:rsidR="00CB484E" w:rsidRDefault="00CB484E" w:rsidP="00E70A73">
                  <w:r>
                    <w:t xml:space="preserve">Received </w:t>
                  </w:r>
                  <w:r w:rsidRPr="004C0CFC">
                    <w:t>signal</w:t>
                  </w:r>
                  <w:r w:rsidRPr="004C0CFC">
                    <w:rPr>
                      <w:vertAlign w:val="superscript"/>
                    </w:rPr>
                    <w:t>3, 4,6-9</w:t>
                  </w:r>
                  <w:r>
                    <w:t xml:space="preserve"> </w:t>
                  </w:r>
                </w:p>
                <w:p w14:paraId="17BA2BF9" w14:textId="77777777" w:rsidR="00CB484E" w:rsidRDefault="00CB484E" w:rsidP="00E70A73"/>
                <w:p w14:paraId="5C35AD6C" w14:textId="77777777" w:rsidR="00CB484E" w:rsidRDefault="00CB484E" w:rsidP="00E70A73">
                  <w:r>
                    <w:t>For Tx side of two-sided model: coded bit</w:t>
                  </w:r>
                  <w:r>
                    <w:rPr>
                      <w:vertAlign w:val="superscript"/>
                    </w:rPr>
                    <w:t>2</w:t>
                  </w:r>
                  <w:r>
                    <w:rPr>
                      <w:rFonts w:hint="eastAsia"/>
                      <w:vertAlign w:val="superscript"/>
                    </w:rPr>
                    <w:t>,5</w:t>
                  </w:r>
                  <w:r>
                    <w:rPr>
                      <w:vertAlign w:val="superscript"/>
                    </w:rPr>
                    <w:t>,1</w:t>
                  </w:r>
                </w:p>
              </w:tc>
            </w:tr>
            <w:tr w:rsidR="00CB484E" w14:paraId="197A23DC" w14:textId="77777777" w:rsidTr="00BD6BAB">
              <w:trPr>
                <w:trHeight w:val="399"/>
              </w:trPr>
              <w:tc>
                <w:tcPr>
                  <w:tcW w:w="784" w:type="pct"/>
                  <w:noWrap/>
                </w:tcPr>
                <w:p w14:paraId="5F0ED638" w14:textId="77777777" w:rsidR="00CB484E" w:rsidRDefault="00CB484E" w:rsidP="00E70A73">
                  <w:r>
                    <w:t>Model output</w:t>
                  </w:r>
                </w:p>
              </w:tc>
              <w:tc>
                <w:tcPr>
                  <w:tcW w:w="1571" w:type="pct"/>
                </w:tcPr>
                <w:p w14:paraId="573CFEA8" w14:textId="77777777" w:rsidR="00CB484E" w:rsidRDefault="00CB484E" w:rsidP="00E70A73">
                  <w:pPr>
                    <w:rPr>
                      <w:vertAlign w:val="superscript"/>
                    </w:rPr>
                  </w:pPr>
                  <w:r>
                    <w:t>1. Estimated channel at target data and/or DMRS REs</w:t>
                  </w:r>
                  <w:r>
                    <w:rPr>
                      <w:color w:val="000000" w:themeColor="text1"/>
                      <w:vertAlign w:val="superscript"/>
                    </w:rPr>
                    <w:t>2,4,5</w:t>
                  </w:r>
                  <w:r>
                    <w:rPr>
                      <w:vertAlign w:val="superscript"/>
                    </w:rPr>
                    <w:t>,7,8,9,11, 12, 13,16,17,18,19,21,22,23,25</w:t>
                  </w:r>
                </w:p>
                <w:p w14:paraId="5A02447A" w14:textId="77777777" w:rsidR="00CB484E" w:rsidRDefault="00CB484E" w:rsidP="00E70A73">
                  <w:pPr>
                    <w:rPr>
                      <w:vertAlign w:val="superscript"/>
                    </w:rPr>
                  </w:pPr>
                  <w:r>
                    <w:t xml:space="preserve"> 1a. Estimated noise variance </w:t>
                  </w:r>
                  <w:r>
                    <w:rPr>
                      <w:vertAlign w:val="superscript"/>
                    </w:rPr>
                    <w:t>12</w:t>
                  </w:r>
                </w:p>
                <w:p w14:paraId="2409E72C" w14:textId="77777777" w:rsidR="00CB484E" w:rsidRDefault="00CB484E" w:rsidP="00E70A73">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13,14,15,19,20, 22,</w:t>
                  </w:r>
                  <w:r>
                    <w:rPr>
                      <w:rFonts w:eastAsia="SimSun" w:hint="eastAsia"/>
                      <w:vertAlign w:val="superscript"/>
                    </w:rPr>
                    <w:t>24</w:t>
                  </w:r>
                </w:p>
                <w:p w14:paraId="2AF63736" w14:textId="77777777" w:rsidR="00CB484E" w:rsidRDefault="00CB484E" w:rsidP="00E70A73">
                  <w:pPr>
                    <w:rPr>
                      <w:vertAlign w:val="superscript"/>
                    </w:rPr>
                  </w:pPr>
                  <w:r>
                    <w:t>3. Filtering coefficien</w:t>
                  </w:r>
                  <w:r>
                    <w:lastRenderedPageBreak/>
                    <w:t xml:space="preserve">ts for channel estimation </w:t>
                  </w:r>
                  <w:r>
                    <w:rPr>
                      <w:vertAlign w:val="superscript"/>
                    </w:rPr>
                    <w:t>7</w:t>
                  </w:r>
                </w:p>
                <w:p w14:paraId="42B0DD3F" w14:textId="77777777" w:rsidR="00CB484E" w:rsidRDefault="00CB484E" w:rsidP="00E70A73">
                  <w:r>
                    <w:rPr>
                      <w:rFonts w:eastAsiaTheme="minorEastAsia" w:hint="eastAsia"/>
                    </w:rPr>
                    <w:t>4</w:t>
                  </w:r>
                  <w:r>
                    <w:rPr>
                      <w:rFonts w:eastAsiaTheme="minorEastAsia"/>
                    </w:rPr>
                    <w:t xml:space="preserve">. </w:t>
                  </w:r>
                  <w:r>
                    <w:t>Estimated modulation symbols</w:t>
                  </w:r>
                  <w:r>
                    <w:rPr>
                      <w:vertAlign w:val="superscript"/>
                    </w:rPr>
                    <w:t>8</w:t>
                  </w:r>
                </w:p>
                <w:p w14:paraId="1624906F" w14:textId="77777777" w:rsidR="00CB484E" w:rsidRPr="00B32A65" w:rsidRDefault="00CB484E" w:rsidP="00E70A73">
                  <w:pPr>
                    <w:rPr>
                      <w:rFonts w:eastAsiaTheme="minorEastAsia"/>
                    </w:rPr>
                  </w:pPr>
                  <w:r>
                    <w:t>5. Equalizer coefficients</w:t>
                  </w:r>
                  <w:r w:rsidRPr="004C0CFC">
                    <w:rPr>
                      <w:vertAlign w:val="superscript"/>
                    </w:rPr>
                    <w:t>6</w:t>
                  </w:r>
                </w:p>
              </w:tc>
              <w:tc>
                <w:tcPr>
                  <w:tcW w:w="1415" w:type="pct"/>
                </w:tcPr>
                <w:p w14:paraId="13C59DEF" w14:textId="77777777" w:rsidR="00CB484E" w:rsidRDefault="00CB484E" w:rsidP="00E70A73">
                  <w:r>
                    <w:lastRenderedPageBreak/>
                    <w:t xml:space="preserve">1. Estimated channel at target </w:t>
                  </w:r>
                  <w:r>
                    <w:rPr>
                      <w:rFonts w:hint="eastAsia"/>
                    </w:rPr>
                    <w:t xml:space="preserve">data </w:t>
                  </w:r>
                  <w:r>
                    <w:t>REs</w:t>
                  </w:r>
                  <w:r>
                    <w:rPr>
                      <w:vertAlign w:val="superscript"/>
                    </w:rPr>
                    <w:t>1,3,4,5,6,8, 10</w:t>
                  </w:r>
                </w:p>
                <w:p w14:paraId="1F48A8BA" w14:textId="77777777" w:rsidR="00CB484E" w:rsidRDefault="00CB484E" w:rsidP="00E70A73">
                  <w:pPr>
                    <w:rPr>
                      <w:vertAlign w:val="superscript"/>
                    </w:rPr>
                  </w:pPr>
                  <w:r>
                    <w:t>2.LLR</w:t>
                  </w:r>
                  <w:r>
                    <w:rPr>
                      <w:vertAlign w:val="superscript"/>
                    </w:rPr>
                    <w:t>2,3, 5,6,7,8,9,11,12</w:t>
                  </w:r>
                </w:p>
                <w:p w14:paraId="417DA550" w14:textId="77777777" w:rsidR="00CB484E" w:rsidRDefault="00CB484E" w:rsidP="00E70A73">
                  <w:pPr>
                    <w:rPr>
                      <w:vertAlign w:val="superscript"/>
                    </w:rPr>
                  </w:pPr>
                  <w:r>
                    <w:rPr>
                      <w:rFonts w:hint="eastAsia"/>
                    </w:rPr>
                    <w:t>3</w:t>
                  </w:r>
                  <w:r>
                    <w:t>.Estimated modulation symbols</w:t>
                  </w:r>
                  <w:r>
                    <w:rPr>
                      <w:vertAlign w:val="superscript"/>
                    </w:rPr>
                    <w:t>9</w:t>
                  </w:r>
                </w:p>
                <w:p w14:paraId="0C3BBB51" w14:textId="77777777" w:rsidR="00CB484E" w:rsidRDefault="00CB484E" w:rsidP="00E70A73"/>
                <w:p w14:paraId="6A8DD050" w14:textId="77777777" w:rsidR="00CB484E" w:rsidRDefault="00CB484E" w:rsidP="00E70A73">
                  <w:pPr>
                    <w:rPr>
                      <w:vertAlign w:val="superscript"/>
                    </w:rPr>
                  </w:pPr>
                  <w:r>
                    <w:t>For Tx side of two-sided model: s</w:t>
                  </w:r>
                  <w:r>
                    <w:lastRenderedPageBreak/>
                    <w:t>uperimposed signal</w:t>
                  </w:r>
                  <w:r>
                    <w:rPr>
                      <w:vertAlign w:val="superscript"/>
                    </w:rPr>
                    <w:t>5</w:t>
                  </w:r>
                </w:p>
              </w:tc>
              <w:tc>
                <w:tcPr>
                  <w:tcW w:w="1230" w:type="pct"/>
                </w:tcPr>
                <w:p w14:paraId="5D7D8E9D" w14:textId="77777777" w:rsidR="00CB484E" w:rsidRDefault="00CB484E" w:rsidP="00E70A73">
                  <w:r>
                    <w:lastRenderedPageBreak/>
                    <w:t>1.LLR (majority)</w:t>
                  </w:r>
                </w:p>
                <w:p w14:paraId="34D4F90C" w14:textId="77777777" w:rsidR="00CB484E" w:rsidRDefault="00CB484E" w:rsidP="00E70A73">
                  <w:pPr>
                    <w:rPr>
                      <w:vertAlign w:val="superscript"/>
                    </w:rPr>
                  </w:pPr>
                  <w:r>
                    <w:rPr>
                      <w:rFonts w:eastAsiaTheme="minorEastAsia"/>
                    </w:rPr>
                    <w:t>2.Estimated channel</w:t>
                  </w:r>
                  <w:r>
                    <w:rPr>
                      <w:vertAlign w:val="superscript"/>
                    </w:rPr>
                    <w:t>2</w:t>
                  </w:r>
                </w:p>
                <w:p w14:paraId="69631D4B" w14:textId="77777777" w:rsidR="00CB484E" w:rsidRDefault="00CB484E" w:rsidP="00E70A73">
                  <w:pPr>
                    <w:rPr>
                      <w:vertAlign w:val="superscript"/>
                    </w:rPr>
                  </w:pPr>
                </w:p>
                <w:p w14:paraId="1A67C195" w14:textId="77777777" w:rsidR="00CB484E" w:rsidRDefault="00CB484E" w:rsidP="00E70A73">
                  <w:r>
                    <w:t>For Tx side of two-sided model: modulated data symb</w:t>
                  </w:r>
                  <w:r>
                    <w:lastRenderedPageBreak/>
                    <w:t xml:space="preserve">ols </w:t>
                  </w:r>
                  <w:r>
                    <w:rPr>
                      <w:vertAlign w:val="superscript"/>
                    </w:rPr>
                    <w:t>5</w:t>
                  </w:r>
                  <w:r>
                    <w:rPr>
                      <w:rFonts w:hint="eastAsia"/>
                      <w:vertAlign w:val="superscript"/>
                    </w:rPr>
                    <w:t>,2</w:t>
                  </w:r>
                  <w:r>
                    <w:rPr>
                      <w:vertAlign w:val="superscript"/>
                    </w:rPr>
                    <w:t>,1</w:t>
                  </w:r>
                </w:p>
              </w:tc>
            </w:tr>
            <w:tr w:rsidR="00CB484E" w14:paraId="6C7B3E52" w14:textId="77777777" w:rsidTr="00BD6BAB">
              <w:trPr>
                <w:trHeight w:val="1034"/>
              </w:trPr>
              <w:tc>
                <w:tcPr>
                  <w:tcW w:w="784" w:type="pct"/>
                  <w:noWrap/>
                </w:tcPr>
                <w:p w14:paraId="7DBE6145" w14:textId="77777777" w:rsidR="00CB484E" w:rsidRDefault="00CB484E" w:rsidP="00E70A73">
                  <w:r>
                    <w:t>Label</w:t>
                  </w:r>
                </w:p>
              </w:tc>
              <w:tc>
                <w:tcPr>
                  <w:tcW w:w="1571" w:type="pct"/>
                </w:tcPr>
                <w:p w14:paraId="0BA696AC" w14:textId="77777777" w:rsidR="00CB484E" w:rsidRDefault="00CB484E" w:rsidP="00E70A73">
                  <w:pPr>
                    <w:rPr>
                      <w:vertAlign w:val="superscript"/>
                    </w:rPr>
                  </w:pPr>
                  <w:r>
                    <w:t xml:space="preserve">1. Ideal channel information </w:t>
                  </w:r>
                  <w:r>
                    <w:rPr>
                      <w:vertAlign w:val="superscript"/>
                    </w:rPr>
                    <w:t>2, 4, 5,7,8,9,11,12,13,15,16,17,18,22,23,25</w:t>
                  </w:r>
                </w:p>
                <w:p w14:paraId="10EEE8AE" w14:textId="77777777" w:rsidR="00CB484E" w:rsidRDefault="00CB484E" w:rsidP="00E70A73">
                  <w:r>
                    <w:t>2. Known sequence/data</w:t>
                  </w:r>
                  <w:r>
                    <w:rPr>
                      <w:vertAlign w:val="superscript"/>
                    </w:rPr>
                    <w:t>1,2,3,</w:t>
                  </w:r>
                  <w:r>
                    <w:rPr>
                      <w:rFonts w:eastAsiaTheme="minorEastAsia" w:hint="eastAsia"/>
                      <w:vertAlign w:val="superscript"/>
                    </w:rPr>
                    <w:t xml:space="preserve"> </w:t>
                  </w:r>
                  <w:r>
                    <w:rPr>
                      <w:rFonts w:eastAsiaTheme="minorEastAsia"/>
                      <w:vertAlign w:val="superscript"/>
                    </w:rPr>
                    <w:t xml:space="preserve">4,8, </w:t>
                  </w:r>
                  <w:r>
                    <w:rPr>
                      <w:rFonts w:eastAsiaTheme="minorEastAsia" w:hint="eastAsia"/>
                      <w:vertAlign w:val="superscript"/>
                    </w:rPr>
                    <w:t xml:space="preserve">10, </w:t>
                  </w:r>
                  <w:r>
                    <w:rPr>
                      <w:vertAlign w:val="superscript"/>
                    </w:rPr>
                    <w:t>13,14,15,16,20,22,19,</w:t>
                  </w:r>
                  <w:r>
                    <w:rPr>
                      <w:rFonts w:eastAsia="SimSun" w:hint="eastAsia"/>
                      <w:vertAlign w:val="superscript"/>
                    </w:rPr>
                    <w:t xml:space="preserve"> 24</w:t>
                  </w:r>
                </w:p>
                <w:p w14:paraId="3861046C" w14:textId="77777777" w:rsidR="00CB484E" w:rsidRDefault="00CB484E" w:rsidP="00E70A73">
                  <w:pPr>
                    <w:rPr>
                      <w:vertAlign w:val="superscript"/>
                    </w:rPr>
                  </w:pPr>
                  <w:r>
                    <w:t>3. L</w:t>
                  </w:r>
                  <w:r>
                    <w:rPr>
                      <w:color w:val="000000"/>
                    </w:rPr>
                    <w:t>abel free (unsupervised)</w:t>
                  </w:r>
                  <w:r>
                    <w:rPr>
                      <w:vertAlign w:val="superscript"/>
                    </w:rPr>
                    <w:t xml:space="preserve">6, 21 </w:t>
                  </w:r>
                </w:p>
                <w:p w14:paraId="7CF37953" w14:textId="77777777" w:rsidR="00CB484E" w:rsidRDefault="00CB484E" w:rsidP="00E70A73">
                  <w:pPr>
                    <w:rPr>
                      <w:vertAlign w:val="superscript"/>
                    </w:rPr>
                  </w:pPr>
                  <w:r>
                    <w:rPr>
                      <w:rFonts w:hint="eastAsia"/>
                    </w:rPr>
                    <w:t>4</w:t>
                  </w:r>
                  <w:r>
                    <w:t>. Estimated channel using legacy/new DMRS pattern with legacy receiver</w:t>
                  </w:r>
                  <w:r>
                    <w:rPr>
                      <w:vertAlign w:val="superscript"/>
                    </w:rPr>
                    <w:t>4,8,13</w:t>
                  </w:r>
                </w:p>
                <w:p w14:paraId="23825A0B" w14:textId="77777777" w:rsidR="00CB484E" w:rsidRDefault="00CB484E" w:rsidP="00E70A73">
                  <w:pPr>
                    <w:rPr>
                      <w:vertAlign w:val="superscript"/>
                    </w:rPr>
                  </w:pPr>
                  <w:r>
                    <w:t>5.  Estimated channel of adjacent RE (self-supervised)</w:t>
                  </w:r>
                  <w:r>
                    <w:rPr>
                      <w:vertAlign w:val="superscript"/>
                    </w:rPr>
                    <w:t>13</w:t>
                  </w:r>
                </w:p>
                <w:p w14:paraId="5AC51942" w14:textId="77777777" w:rsidR="00CB484E" w:rsidRPr="00E046F8" w:rsidRDefault="00CB484E" w:rsidP="00E70A73">
                  <w:pPr>
                    <w:rPr>
                      <w:rFonts w:eastAsiaTheme="minorEastAsia"/>
                    </w:rPr>
                  </w:pPr>
                </w:p>
              </w:tc>
              <w:tc>
                <w:tcPr>
                  <w:tcW w:w="1415" w:type="pct"/>
                </w:tcPr>
                <w:p w14:paraId="5666DAD5" w14:textId="77777777" w:rsidR="00CB484E" w:rsidRDefault="00CB484E" w:rsidP="00E70A73">
                  <w:pPr>
                    <w:rPr>
                      <w:vertAlign w:val="superscript"/>
                    </w:rPr>
                  </w:pPr>
                  <w:r>
                    <w:t xml:space="preserve">1. </w:t>
                  </w:r>
                  <w:r>
                    <w:rPr>
                      <w:rFonts w:hint="eastAsia"/>
                    </w:rPr>
                    <w:t>K</w:t>
                  </w:r>
                  <w:r>
                    <w:t xml:space="preserve">nown sequence/data </w:t>
                  </w:r>
                  <w:r>
                    <w:rPr>
                      <w:vertAlign w:val="superscript"/>
                    </w:rPr>
                    <w:t>2,3,11,12,7,9</w:t>
                  </w:r>
                </w:p>
                <w:p w14:paraId="42E5FFC3" w14:textId="77777777" w:rsidR="00CB484E" w:rsidRDefault="00CB484E" w:rsidP="00E70A73">
                  <w:r>
                    <w:t>2. Ideal channel information</w:t>
                  </w:r>
                  <w:r>
                    <w:rPr>
                      <w:vertAlign w:val="superscript"/>
                    </w:rPr>
                    <w:t>1,8, 10</w:t>
                  </w:r>
                </w:p>
                <w:p w14:paraId="0C91A247" w14:textId="77777777" w:rsidR="00CB484E" w:rsidRDefault="00CB484E" w:rsidP="00E70A73">
                  <w:r>
                    <w:rPr>
                      <w:rFonts w:hint="eastAsia"/>
                    </w:rPr>
                    <w:t>3</w:t>
                  </w:r>
                  <w:r>
                    <w:t>.Transmitted modulation symbols</w:t>
                  </w:r>
                  <w:r>
                    <w:rPr>
                      <w:vertAlign w:val="superscript"/>
                    </w:rPr>
                    <w:t>9</w:t>
                  </w:r>
                </w:p>
                <w:p w14:paraId="4A0B2761" w14:textId="77777777" w:rsidR="00CB484E" w:rsidRDefault="00CB484E" w:rsidP="00E70A73">
                  <w:r>
                    <w:rPr>
                      <w:rFonts w:eastAsiaTheme="minorEastAsia" w:hint="eastAsia"/>
                    </w:rPr>
                    <w:t>4. Estimated channel information using orthogonal DMRS</w:t>
                  </w:r>
                  <w:r>
                    <w:rPr>
                      <w:rFonts w:eastAsiaTheme="minorEastAsia"/>
                      <w:vertAlign w:val="superscript"/>
                    </w:rPr>
                    <w:t>4</w:t>
                  </w:r>
                </w:p>
              </w:tc>
              <w:tc>
                <w:tcPr>
                  <w:tcW w:w="1230" w:type="pct"/>
                </w:tcPr>
                <w:p w14:paraId="28F286D0" w14:textId="77777777" w:rsidR="00CB484E" w:rsidRPr="004913EF" w:rsidRDefault="00CB484E" w:rsidP="00E70A73">
                  <w:pPr>
                    <w:rPr>
                      <w:vertAlign w:val="superscript"/>
                    </w:rPr>
                  </w:pPr>
                  <w:r w:rsidRPr="004913EF">
                    <w:t>1. Known sequence/data</w:t>
                  </w:r>
                  <w:r w:rsidRPr="004913EF">
                    <w:rPr>
                      <w:vertAlign w:val="superscript"/>
                    </w:rPr>
                    <w:t>1</w:t>
                  </w:r>
                  <w:r w:rsidRPr="004913EF">
                    <w:rPr>
                      <w:rFonts w:eastAsiaTheme="minorEastAsia" w:hint="eastAsia"/>
                      <w:vertAlign w:val="superscript"/>
                    </w:rPr>
                    <w:t>,</w:t>
                  </w:r>
                  <w:r w:rsidRPr="004913EF">
                    <w:rPr>
                      <w:rFonts w:eastAsiaTheme="minorEastAsia"/>
                      <w:vertAlign w:val="superscript"/>
                    </w:rPr>
                    <w:t>3</w:t>
                  </w:r>
                  <w:r w:rsidRPr="004913EF">
                    <w:rPr>
                      <w:vertAlign w:val="superscript"/>
                    </w:rPr>
                    <w:t>-9</w:t>
                  </w:r>
                </w:p>
                <w:p w14:paraId="7B2A937B" w14:textId="77777777" w:rsidR="00CB484E" w:rsidRDefault="00CB484E" w:rsidP="00E70A73">
                  <w:pPr>
                    <w:rPr>
                      <w:vertAlign w:val="superscript"/>
                    </w:rPr>
                  </w:pPr>
                  <w:r w:rsidRPr="004913EF">
                    <w:t>2 I</w:t>
                  </w:r>
                  <w:r w:rsidRPr="004913EF">
                    <w:rPr>
                      <w:rFonts w:hint="eastAsia"/>
                    </w:rPr>
                    <w:t xml:space="preserve">deal </w:t>
                  </w:r>
                  <w:r w:rsidRPr="004913EF">
                    <w:t>channel</w:t>
                  </w:r>
                  <w:r w:rsidRPr="004913EF">
                    <w:rPr>
                      <w:rFonts w:hint="eastAsia"/>
                    </w:rPr>
                    <w:t xml:space="preserve"> information</w:t>
                  </w:r>
                  <w:r w:rsidRPr="004913EF">
                    <w:rPr>
                      <w:vertAlign w:val="superscript"/>
                    </w:rPr>
                    <w:t>2</w:t>
                  </w:r>
                </w:p>
                <w:p w14:paraId="2B68BF2F" w14:textId="77777777" w:rsidR="00CB484E" w:rsidRDefault="00CB484E" w:rsidP="00E70A73"/>
              </w:tc>
            </w:tr>
            <w:tr w:rsidR="00CB484E" w14:paraId="43345955" w14:textId="77777777" w:rsidTr="00BD6BAB">
              <w:trPr>
                <w:trHeight w:val="399"/>
              </w:trPr>
              <w:tc>
                <w:tcPr>
                  <w:tcW w:w="784" w:type="pct"/>
                  <w:noWrap/>
                </w:tcPr>
                <w:p w14:paraId="4F12BE3C" w14:textId="77777777" w:rsidR="00CB484E" w:rsidRDefault="00CB484E" w:rsidP="00E70A73">
                  <w:r>
                    <w:t>Training types assumption</w:t>
                  </w:r>
                </w:p>
              </w:tc>
              <w:tc>
                <w:tcPr>
                  <w:tcW w:w="1571" w:type="pct"/>
                </w:tcPr>
                <w:p w14:paraId="1D18D3BF" w14:textId="77777777" w:rsidR="00CB484E" w:rsidRPr="004C0CFC" w:rsidRDefault="00CB484E" w:rsidP="00E70A73">
                  <w:r w:rsidRPr="004C0CFC">
                    <w:t>offline training</w:t>
                  </w:r>
                </w:p>
                <w:p w14:paraId="5C8018F5" w14:textId="77777777" w:rsidR="00CB484E" w:rsidRPr="004C0CFC" w:rsidRDefault="00CB484E" w:rsidP="00E70A73"/>
              </w:tc>
              <w:tc>
                <w:tcPr>
                  <w:tcW w:w="1415" w:type="pct"/>
                </w:tcPr>
                <w:p w14:paraId="394A4F4A" w14:textId="77777777" w:rsidR="00CB484E" w:rsidRPr="004C0CFC" w:rsidRDefault="00CB484E" w:rsidP="00E70A73">
                  <w:r w:rsidRPr="004C0CFC">
                    <w:t>offline training</w:t>
                  </w:r>
                </w:p>
                <w:p w14:paraId="72D08D04" w14:textId="77777777" w:rsidR="00CB484E" w:rsidRPr="004C0CFC" w:rsidRDefault="00CB484E" w:rsidP="00E70A73"/>
              </w:tc>
              <w:tc>
                <w:tcPr>
                  <w:tcW w:w="1230" w:type="pct"/>
                </w:tcPr>
                <w:p w14:paraId="45BEC911" w14:textId="77777777" w:rsidR="00CB484E" w:rsidRPr="004C0CFC" w:rsidRDefault="00CB484E" w:rsidP="00E70A73">
                  <w:r w:rsidRPr="004C0CFC">
                    <w:t>offline training</w:t>
                  </w:r>
                </w:p>
              </w:tc>
            </w:tr>
            <w:tr w:rsidR="00CB484E" w14:paraId="15EC49DE" w14:textId="77777777" w:rsidTr="00BD6BAB">
              <w:trPr>
                <w:trHeight w:val="399"/>
              </w:trPr>
              <w:tc>
                <w:tcPr>
                  <w:tcW w:w="784" w:type="pct"/>
                  <w:noWrap/>
                </w:tcPr>
                <w:p w14:paraId="4A53E8A5" w14:textId="77777777" w:rsidR="00CB484E" w:rsidRDefault="00CB484E" w:rsidP="00E70A73">
                  <w:r>
                    <w:t>KPI</w:t>
                  </w:r>
                </w:p>
              </w:tc>
              <w:tc>
                <w:tcPr>
                  <w:tcW w:w="1571" w:type="pct"/>
                </w:tcPr>
                <w:p w14:paraId="1010E8D2" w14:textId="77777777" w:rsidR="00CB484E" w:rsidRPr="004C0CFC" w:rsidRDefault="00CB484E" w:rsidP="00E70A73">
                  <w:r w:rsidRPr="004C0CFC">
                    <w:t>MSE, BLER, throughput</w:t>
                  </w:r>
                  <w:r w:rsidRPr="004C0CFC">
                    <w:rPr>
                      <w:rFonts w:eastAsiaTheme="minorEastAsia" w:hint="eastAsia"/>
                    </w:rPr>
                    <w:t>, BER</w:t>
                  </w:r>
                </w:p>
              </w:tc>
              <w:tc>
                <w:tcPr>
                  <w:tcW w:w="1415" w:type="pct"/>
                </w:tcPr>
                <w:p w14:paraId="73C082D3" w14:textId="77777777" w:rsidR="00CB484E" w:rsidRPr="004C0CFC" w:rsidRDefault="00CB484E" w:rsidP="00E70A73">
                  <w:r w:rsidRPr="004C0CFC">
                    <w:t>MSE, BLER, throughput</w:t>
                  </w:r>
                </w:p>
              </w:tc>
              <w:tc>
                <w:tcPr>
                  <w:tcW w:w="1230" w:type="pct"/>
                </w:tcPr>
                <w:p w14:paraId="3B67BDE2" w14:textId="77777777" w:rsidR="00CB484E" w:rsidRPr="004C0CFC" w:rsidRDefault="00CB484E" w:rsidP="00E70A73">
                  <w:r w:rsidRPr="004C0CFC">
                    <w:t>MSE, BLER, throughput</w:t>
                  </w:r>
                </w:p>
              </w:tc>
            </w:tr>
            <w:tr w:rsidR="00CB484E" w14:paraId="3C839A43" w14:textId="77777777" w:rsidTr="00BD6BAB">
              <w:trPr>
                <w:trHeight w:val="399"/>
              </w:trPr>
              <w:tc>
                <w:tcPr>
                  <w:tcW w:w="784" w:type="pct"/>
                  <w:noWrap/>
                </w:tcPr>
                <w:p w14:paraId="24DA770F" w14:textId="77777777" w:rsidR="00CB484E" w:rsidRDefault="00CB484E" w:rsidP="00E70A73">
                  <w:pPr>
                    <w:rPr>
                      <w:color w:val="000000"/>
                    </w:rPr>
                  </w:pPr>
                  <w:r>
                    <w:t>Benchmark</w:t>
                  </w:r>
                </w:p>
              </w:tc>
              <w:tc>
                <w:tcPr>
                  <w:tcW w:w="1571" w:type="pct"/>
                </w:tcPr>
                <w:p w14:paraId="6C1630C5" w14:textId="77777777" w:rsidR="00CB484E" w:rsidRPr="004C0CFC" w:rsidRDefault="00CB484E" w:rsidP="00E70A73">
                  <w:r w:rsidRPr="004C0CFC">
                    <w:t>With ideal channel information</w:t>
                  </w:r>
                </w:p>
                <w:p w14:paraId="2A59E9DB" w14:textId="77777777" w:rsidR="00CB484E" w:rsidRPr="004C0CFC" w:rsidRDefault="00CB484E" w:rsidP="00E70A73">
                  <w:pPr>
                    <w:rPr>
                      <w:rFonts w:eastAsia="바탕"/>
                    </w:rPr>
                  </w:pPr>
                  <w:r w:rsidRPr="004C0CFC">
                    <w:t>With conventional receiver with sparse or legacy DMRS</w:t>
                  </w:r>
                </w:p>
              </w:tc>
              <w:tc>
                <w:tcPr>
                  <w:tcW w:w="1415" w:type="pct"/>
                </w:tcPr>
                <w:p w14:paraId="566D4CCD" w14:textId="77777777" w:rsidR="00CB484E" w:rsidRPr="004C0CFC" w:rsidRDefault="00CB484E" w:rsidP="00E70A73">
                  <w:r w:rsidRPr="004C0CFC">
                    <w:t>With ideal channel informal</w:t>
                  </w:r>
                </w:p>
                <w:p w14:paraId="3A2830EF" w14:textId="77777777" w:rsidR="00CB484E" w:rsidRPr="004C0CFC" w:rsidRDefault="00CB484E" w:rsidP="00E70A73">
                  <w:r w:rsidRPr="004C0CFC">
                    <w:t>With conventional receiver with legacy DMRS overhead</w:t>
                  </w:r>
                </w:p>
              </w:tc>
              <w:tc>
                <w:tcPr>
                  <w:tcW w:w="1230" w:type="pct"/>
                </w:tcPr>
                <w:p w14:paraId="32EA2036" w14:textId="77777777" w:rsidR="00CB484E" w:rsidRPr="004C0CFC" w:rsidRDefault="00CB484E" w:rsidP="00E70A73">
                  <w:r w:rsidRPr="004C0CFC">
                    <w:t>With ideal channel information</w:t>
                  </w:r>
                </w:p>
                <w:p w14:paraId="5AE273DC" w14:textId="77777777" w:rsidR="00CB484E" w:rsidRPr="004C0CFC" w:rsidRDefault="00CB484E" w:rsidP="00E70A73">
                  <w:r w:rsidRPr="004C0CFC">
                    <w:t>With conventional receiver with legacy DMRS overhead</w:t>
                  </w:r>
                </w:p>
              </w:tc>
            </w:tr>
            <w:tr w:rsidR="00CB484E" w14:paraId="37E0AD66" w14:textId="77777777" w:rsidTr="00BD6BAB">
              <w:trPr>
                <w:trHeight w:val="399"/>
              </w:trPr>
              <w:tc>
                <w:tcPr>
                  <w:tcW w:w="784" w:type="pct"/>
                  <w:noWrap/>
                </w:tcPr>
                <w:p w14:paraId="1FC1BFED" w14:textId="77777777" w:rsidR="00CB484E" w:rsidRDefault="00CB484E" w:rsidP="00E70A73">
                  <w:r>
                    <w:t>Model location for inference</w:t>
                  </w:r>
                </w:p>
              </w:tc>
              <w:tc>
                <w:tcPr>
                  <w:tcW w:w="1571" w:type="pct"/>
                </w:tcPr>
                <w:p w14:paraId="66ECBACA" w14:textId="77777777" w:rsidR="00CB484E" w:rsidRPr="004C0CFC" w:rsidRDefault="00CB484E" w:rsidP="00E70A73">
                  <w:r w:rsidRPr="004C0CFC">
                    <w:t>UE-sided model for DL or NW-sided model for UL</w:t>
                  </w:r>
                </w:p>
                <w:p w14:paraId="22C6D377" w14:textId="77777777" w:rsidR="00CB484E" w:rsidRPr="004C0CFC" w:rsidRDefault="00CB484E" w:rsidP="00E70A73">
                  <w:pPr>
                    <w:rPr>
                      <w:strike/>
                    </w:rPr>
                  </w:pPr>
                </w:p>
              </w:tc>
              <w:tc>
                <w:tcPr>
                  <w:tcW w:w="1415" w:type="pct"/>
                </w:tcPr>
                <w:p w14:paraId="40AB4E47" w14:textId="77777777" w:rsidR="00CB484E" w:rsidRPr="004C0CFC" w:rsidRDefault="00CB484E" w:rsidP="00E70A73">
                  <w:r w:rsidRPr="004C0CFC">
                    <w:t>UE-sided model for DL</w:t>
                  </w:r>
                </w:p>
                <w:p w14:paraId="06E6CFAA" w14:textId="77777777" w:rsidR="00CB484E" w:rsidRPr="004C0CFC" w:rsidRDefault="00CB484E" w:rsidP="00E70A73">
                  <w:r w:rsidRPr="004C0CFC">
                    <w:t>NW-sided model for UL</w:t>
                  </w:r>
                </w:p>
                <w:p w14:paraId="5FB96660" w14:textId="77777777" w:rsidR="00CB484E" w:rsidRPr="004C0CFC" w:rsidRDefault="00CB484E" w:rsidP="00E70A73">
                  <w:r w:rsidRPr="004C0CFC">
                    <w:t>Two-sided model</w:t>
                  </w:r>
                  <w:r w:rsidRPr="004C0CFC">
                    <w:rPr>
                      <w:vertAlign w:val="superscript"/>
                    </w:rPr>
                    <w:t>5</w:t>
                  </w:r>
                </w:p>
              </w:tc>
              <w:tc>
                <w:tcPr>
                  <w:tcW w:w="1230" w:type="pct"/>
                </w:tcPr>
                <w:p w14:paraId="669964DD" w14:textId="77777777" w:rsidR="00CB484E" w:rsidRPr="004C0CFC" w:rsidRDefault="00CB484E" w:rsidP="00E70A73">
                  <w:r w:rsidRPr="004C0CFC">
                    <w:t>NW-sided model for UL</w:t>
                  </w:r>
                  <w:r w:rsidRPr="004C0CFC">
                    <w:rPr>
                      <w:vertAlign w:val="superscript"/>
                    </w:rPr>
                    <w:t>3,</w:t>
                  </w:r>
                  <w:r w:rsidRPr="004C0CFC">
                    <w:rPr>
                      <w:color w:val="000000" w:themeColor="text1"/>
                      <w:vertAlign w:val="superscript"/>
                    </w:rPr>
                    <w:t>4,6-9</w:t>
                  </w:r>
                </w:p>
                <w:p w14:paraId="25BF5305" w14:textId="77777777" w:rsidR="00CB484E" w:rsidRPr="004C0CFC" w:rsidRDefault="00CB484E" w:rsidP="00E70A73">
                  <w:r w:rsidRPr="004C0CFC">
                    <w:t>Two-sided model</w:t>
                  </w:r>
                  <w:r w:rsidRPr="004C0CFC">
                    <w:rPr>
                      <w:vertAlign w:val="superscript"/>
                    </w:rPr>
                    <w:t>2</w:t>
                  </w:r>
                  <w:r w:rsidRPr="004C0CFC">
                    <w:rPr>
                      <w:color w:val="000000" w:themeColor="text1"/>
                      <w:vertAlign w:val="superscript"/>
                    </w:rPr>
                    <w:t>,5,1</w:t>
                  </w:r>
                </w:p>
              </w:tc>
            </w:tr>
            <w:tr w:rsidR="00CB484E" w14:paraId="18B7D369" w14:textId="77777777" w:rsidTr="00BD6BAB">
              <w:trPr>
                <w:trHeight w:val="989"/>
              </w:trPr>
              <w:tc>
                <w:tcPr>
                  <w:tcW w:w="784" w:type="pct"/>
                  <w:noWrap/>
                </w:tcPr>
                <w:p w14:paraId="4168FFF1" w14:textId="77777777" w:rsidR="00CB484E" w:rsidRDefault="00CB484E" w:rsidP="00E70A73">
                  <w:r>
                    <w:t>Collaboration/interaction between UE and NW</w:t>
                  </w:r>
                </w:p>
              </w:tc>
              <w:tc>
                <w:tcPr>
                  <w:tcW w:w="1571" w:type="pct"/>
                </w:tcPr>
                <w:p w14:paraId="742F8AE0" w14:textId="77777777" w:rsidR="00CB484E" w:rsidRDefault="00CB484E" w:rsidP="00E70A73">
                  <w:pPr>
                    <w:rPr>
                      <w:highlight w:val="yellow"/>
                    </w:rPr>
                  </w:pPr>
                  <w:r>
                    <w:rPr>
                      <w:rFonts w:hint="eastAsia"/>
                    </w:rPr>
                    <w:t xml:space="preserve">Similar to </w:t>
                  </w:r>
                  <w:r>
                    <w:t xml:space="preserve">UE-sided or NW-sided model </w:t>
                  </w:r>
                  <w:r>
                    <w:rPr>
                      <w:rFonts w:hint="eastAsia"/>
                    </w:rPr>
                    <w:t>as NR</w:t>
                  </w:r>
                </w:p>
              </w:tc>
              <w:tc>
                <w:tcPr>
                  <w:tcW w:w="1415" w:type="pct"/>
                </w:tcPr>
                <w:p w14:paraId="5EEFBAC5" w14:textId="77777777" w:rsidR="00CB484E" w:rsidRDefault="00CB484E" w:rsidP="00E70A73">
                  <w:r>
                    <w:rPr>
                      <w:rFonts w:hint="eastAsia"/>
                    </w:rPr>
                    <w:t xml:space="preserve">Similar to </w:t>
                  </w:r>
                  <w:r>
                    <w:t>UE-sided or NW-sided model</w:t>
                  </w:r>
                  <w:r>
                    <w:rPr>
                      <w:rFonts w:hint="eastAsia"/>
                    </w:rPr>
                    <w:t xml:space="preserve"> as NR</w:t>
                  </w:r>
                </w:p>
                <w:p w14:paraId="2DDCFA19" w14:textId="77777777" w:rsidR="00CB484E" w:rsidRDefault="00CB484E" w:rsidP="00E70A73">
                  <w:pPr>
                    <w:rPr>
                      <w:highlight w:val="yellow"/>
                    </w:rPr>
                  </w:pPr>
                  <w:r>
                    <w:rPr>
                      <w:rFonts w:hint="eastAsia"/>
                    </w:rPr>
                    <w:t xml:space="preserve">Similar to </w:t>
                  </w:r>
                  <w:r>
                    <w:t xml:space="preserve">two-sided model </w:t>
                  </w:r>
                  <w:r>
                    <w:rPr>
                      <w:rFonts w:hint="eastAsia"/>
                    </w:rPr>
                    <w:t>as NR</w:t>
                  </w:r>
                </w:p>
              </w:tc>
              <w:tc>
                <w:tcPr>
                  <w:tcW w:w="1230" w:type="pct"/>
                </w:tcPr>
                <w:p w14:paraId="11736574" w14:textId="77777777" w:rsidR="00CB484E" w:rsidRDefault="00CB484E" w:rsidP="00E70A73">
                  <w:r>
                    <w:rPr>
                      <w:rFonts w:hint="eastAsia"/>
                    </w:rPr>
                    <w:t xml:space="preserve">Similar to </w:t>
                  </w:r>
                  <w:r>
                    <w:t xml:space="preserve">UE-sided model </w:t>
                  </w:r>
                  <w:r>
                    <w:rPr>
                      <w:rFonts w:hint="eastAsia"/>
                    </w:rPr>
                    <w:t>as NR</w:t>
                  </w:r>
                </w:p>
                <w:p w14:paraId="1307DADA" w14:textId="77777777" w:rsidR="00CB484E" w:rsidRDefault="00CB484E" w:rsidP="00E70A73">
                  <w:r>
                    <w:rPr>
                      <w:rFonts w:hint="eastAsia"/>
                    </w:rPr>
                    <w:t>Similar to</w:t>
                  </w:r>
                  <w:r>
                    <w:t xml:space="preserve"> NW-sided model </w:t>
                  </w:r>
                  <w:r>
                    <w:rPr>
                      <w:rFonts w:hint="eastAsia"/>
                    </w:rPr>
                    <w:t>as NR</w:t>
                  </w:r>
                </w:p>
                <w:p w14:paraId="2F638A27" w14:textId="77777777" w:rsidR="00CB484E" w:rsidRDefault="00CB484E" w:rsidP="00E70A73">
                  <w:r>
                    <w:t>S</w:t>
                  </w:r>
                  <w:r>
                    <w:rPr>
                      <w:rFonts w:hint="eastAsia"/>
                    </w:rPr>
                    <w:t xml:space="preserve">imilar to </w:t>
                  </w:r>
                  <w:r>
                    <w:t>two-sided model</w:t>
                  </w:r>
                  <w:r>
                    <w:rPr>
                      <w:rFonts w:hint="eastAsia"/>
                    </w:rPr>
                    <w:t xml:space="preserve"> as NR</w:t>
                  </w:r>
                </w:p>
              </w:tc>
            </w:tr>
            <w:tr w:rsidR="00CB484E" w14:paraId="003FB8BB" w14:textId="77777777" w:rsidTr="00BD6BAB">
              <w:trPr>
                <w:trHeight w:val="399"/>
              </w:trPr>
              <w:tc>
                <w:tcPr>
                  <w:tcW w:w="784" w:type="pct"/>
                  <w:noWrap/>
                </w:tcPr>
                <w:p w14:paraId="5F36236E" w14:textId="77777777" w:rsidR="00CB484E" w:rsidRDefault="00CB484E" w:rsidP="00E70A73">
                  <w:r>
                    <w:t>Potential spec impact</w:t>
                  </w:r>
                </w:p>
              </w:tc>
              <w:tc>
                <w:tcPr>
                  <w:tcW w:w="1571" w:type="pct"/>
                </w:tcPr>
                <w:p w14:paraId="3AFA2D52" w14:textId="77777777" w:rsidR="00CB484E" w:rsidRDefault="00CB484E" w:rsidP="00E70A73">
                  <w:r>
                    <w:t>1. DMRS design</w:t>
                  </w:r>
                </w:p>
                <w:p w14:paraId="2AA96E05" w14:textId="77777777" w:rsidR="00CB484E" w:rsidRDefault="00CB484E" w:rsidP="00E70A73">
                  <w:r>
                    <w:t xml:space="preserve">2. RAN 4: </w:t>
                  </w:r>
                  <w:proofErr w:type="spellStart"/>
                  <w:r>
                    <w:t>Demod</w:t>
                  </w:r>
                  <w:proofErr w:type="spellEnd"/>
                  <w:r>
                    <w:t xml:space="preserve"> requirement </w:t>
                  </w:r>
                </w:p>
                <w:p w14:paraId="40EE7761" w14:textId="77777777" w:rsidR="00CB484E" w:rsidRDefault="00CB484E" w:rsidP="00E70A73">
                  <w:r>
                    <w:t>3. Signalling/ procedure related to LCM for UE and/or NW sided model</w:t>
                  </w:r>
                </w:p>
                <w:p w14:paraId="17669B9C" w14:textId="77777777" w:rsidR="00CB484E" w:rsidRDefault="00CB484E" w:rsidP="00E70A73">
                  <w:r>
                    <w:rPr>
                      <w:rFonts w:hint="eastAsia"/>
                    </w:rPr>
                    <w:lastRenderedPageBreak/>
                    <w:t>Etc.</w:t>
                  </w:r>
                </w:p>
                <w:p w14:paraId="566C5B34" w14:textId="77777777" w:rsidR="00CB484E" w:rsidRDefault="00CB484E" w:rsidP="00E70A73"/>
              </w:tc>
              <w:tc>
                <w:tcPr>
                  <w:tcW w:w="1415" w:type="pct"/>
                </w:tcPr>
                <w:p w14:paraId="15F3C830" w14:textId="77777777" w:rsidR="00CB484E" w:rsidRDefault="00CB484E" w:rsidP="00E70A73">
                  <w:r>
                    <w:lastRenderedPageBreak/>
                    <w:t>1. DMRS design</w:t>
                  </w:r>
                </w:p>
                <w:p w14:paraId="44539B4D" w14:textId="77777777" w:rsidR="00CB484E" w:rsidRDefault="00CB484E" w:rsidP="00E70A73">
                  <w:r>
                    <w:t>(Including power allocation between DMRS and data)</w:t>
                  </w:r>
                </w:p>
                <w:p w14:paraId="5679A5D9" w14:textId="77777777" w:rsidR="00CB484E" w:rsidRDefault="00CB484E" w:rsidP="00E70A73">
                  <w:r>
                    <w:t xml:space="preserve">2. RAN 4: </w:t>
                  </w:r>
                  <w:proofErr w:type="spellStart"/>
                  <w:r>
                    <w:t>Demod</w:t>
                  </w:r>
                  <w:proofErr w:type="spellEnd"/>
                  <w:r>
                    <w:t xml:space="preserve"> requirement </w:t>
                  </w:r>
                </w:p>
                <w:p w14:paraId="13DC5D9C" w14:textId="77777777" w:rsidR="00CB484E" w:rsidRDefault="00CB484E" w:rsidP="00E70A73">
                  <w:r>
                    <w:t>3. Signalling/ pro</w:t>
                  </w:r>
                  <w:r>
                    <w:lastRenderedPageBreak/>
                    <w:t>cedure related to LCM for UE and/or NW sided model or two-sided model (including inter-vendor calibration), when applicable</w:t>
                  </w:r>
                </w:p>
                <w:p w14:paraId="07FFF31B" w14:textId="77777777" w:rsidR="00CB484E" w:rsidRDefault="00CB484E" w:rsidP="00E70A73">
                  <w:r>
                    <w:t>E</w:t>
                  </w:r>
                  <w:r>
                    <w:rPr>
                      <w:rFonts w:hint="eastAsia"/>
                    </w:rPr>
                    <w:t>tc.</w:t>
                  </w:r>
                </w:p>
              </w:tc>
              <w:tc>
                <w:tcPr>
                  <w:tcW w:w="1230" w:type="pct"/>
                </w:tcPr>
                <w:p w14:paraId="011E0697" w14:textId="77777777" w:rsidR="00CB484E" w:rsidRDefault="00CB484E" w:rsidP="00E70A73">
                  <w:r>
                    <w:lastRenderedPageBreak/>
                    <w:t xml:space="preserve">1. RAN 4: </w:t>
                  </w:r>
                  <w:proofErr w:type="spellStart"/>
                  <w:r>
                    <w:t>Demod</w:t>
                  </w:r>
                  <w:proofErr w:type="spellEnd"/>
                  <w:r>
                    <w:t xml:space="preserve"> requirement </w:t>
                  </w:r>
                </w:p>
                <w:p w14:paraId="77EF6FAC" w14:textId="77777777" w:rsidR="00CB484E" w:rsidRDefault="00CB484E" w:rsidP="00E70A73">
                  <w:r>
                    <w:t xml:space="preserve">2. Signalling/ procedure related to LCM for UE and/or </w:t>
                  </w:r>
                  <w:r>
                    <w:lastRenderedPageBreak/>
                    <w:t>NW sided model or two-sided model (including inter-vendor calibration), when applicable</w:t>
                  </w:r>
                </w:p>
                <w:p w14:paraId="379C08C1" w14:textId="77777777" w:rsidR="00CB484E" w:rsidRDefault="00CB484E" w:rsidP="00E70A73">
                  <w:r>
                    <w:rPr>
                      <w:rFonts w:hint="eastAsia"/>
                    </w:rPr>
                    <w:t xml:space="preserve">3. Constellation </w:t>
                  </w:r>
                  <w:r>
                    <w:t>design</w:t>
                  </w:r>
                  <w:r>
                    <w:rPr>
                      <w:rFonts w:hint="eastAsia"/>
                    </w:rPr>
                    <w:t xml:space="preserve"> and related signalling/procedure</w:t>
                  </w:r>
                </w:p>
                <w:p w14:paraId="7808AF73" w14:textId="77777777" w:rsidR="00CB484E" w:rsidRDefault="00CB484E" w:rsidP="00E70A73">
                  <w:r>
                    <w:rPr>
                      <w:rFonts w:hint="eastAsia"/>
                    </w:rPr>
                    <w:t>Etc.</w:t>
                  </w:r>
                </w:p>
              </w:tc>
            </w:tr>
          </w:tbl>
          <w:p w14:paraId="279E8B6B" w14:textId="77777777" w:rsidR="00CB484E" w:rsidRDefault="00CB484E" w:rsidP="00E70A73"/>
          <w:p w14:paraId="0857452B" w14:textId="77777777" w:rsidR="00CB484E" w:rsidRPr="00391681" w:rsidRDefault="00CB484E" w:rsidP="00E70A73">
            <w:pPr>
              <w:spacing w:after="120"/>
              <w:ind w:leftChars="213" w:left="469"/>
              <w:rPr>
                <w:rFonts w:eastAsiaTheme="minorEastAsia"/>
                <w:color w:val="000000" w:themeColor="text1"/>
              </w:rPr>
            </w:pPr>
          </w:p>
        </w:tc>
      </w:tr>
    </w:tbl>
    <w:p w14:paraId="3DB9F199" w14:textId="77777777" w:rsidR="00CB484E" w:rsidRDefault="00CB484E" w:rsidP="00E70A73">
      <w:r>
        <w:rPr>
          <w:rFonts w:hint="eastAsia"/>
        </w:rPr>
        <w:lastRenderedPageBreak/>
        <w:t>B</w:t>
      </w:r>
      <w:r>
        <w:t>ased on the agreement and observations in RAN1#123, we will discuss DL DMRS design and procedure with AI receiver.</w:t>
      </w:r>
    </w:p>
    <w:p w14:paraId="217661E9" w14:textId="77777777" w:rsidR="00CB484E" w:rsidRDefault="00CB484E" w:rsidP="00E70A73"/>
    <w:p w14:paraId="5596EDA0" w14:textId="77777777" w:rsidR="00CB484E" w:rsidRPr="008A44CE" w:rsidRDefault="00CB484E" w:rsidP="00E70A73">
      <w:pPr>
        <w:rPr>
          <w:b/>
          <w:bCs/>
        </w:rPr>
      </w:pPr>
      <w:r>
        <w:rPr>
          <w:b/>
          <w:bCs/>
          <w:u w:val="single"/>
        </w:rPr>
        <w:t>Necessity for low-overhead DMRS with AI receiver</w:t>
      </w:r>
      <w:r>
        <w:rPr>
          <w:rFonts w:hint="eastAsia"/>
          <w:b/>
          <w:bCs/>
        </w:rPr>
        <w:t>:</w:t>
      </w:r>
    </w:p>
    <w:p w14:paraId="1A2705FE" w14:textId="77777777" w:rsidR="00CB484E" w:rsidRDefault="00CB484E" w:rsidP="00E70A73">
      <w:r>
        <w:t>As 6G systems are expected to support massive MIMO, sub-THz communications, non-terrestrial networks, and other advanced deployment scenarios, more accurate channel estimation becomes increasingly essential. In particular, compared to legacy systems, a larger number of reference signals are required to cope with higher carrier frequencies and high-mobility environments. Without AI receivers, the transmission overhead associated with DMRS would significantly increase in order to compensate for the increased time- and frequency- selective channel variations, especially in the downlink. This increased overhead may limit overall system efficiency. Therefore, to mitigate the DMRS overhead while maintaining channel estimation performance, the introduction of low-density DMRS in conjunction with AI/ML-based channel estimation is considered beneficial.</w:t>
      </w:r>
    </w:p>
    <w:p w14:paraId="661DA635" w14:textId="6C221E29" w:rsidR="00CB484E" w:rsidRDefault="00CB484E" w:rsidP="00E70A73">
      <w:pPr>
        <w:rPr>
          <w:b/>
          <w:bCs/>
        </w:rPr>
      </w:pPr>
      <w:r w:rsidRPr="00B24BB6">
        <w:rPr>
          <w:b/>
          <w:bCs/>
        </w:rPr>
        <w:t xml:space="preserve">Proposal </w:t>
      </w:r>
      <w:r w:rsidR="008D1951">
        <w:rPr>
          <w:rFonts w:hint="eastAsia"/>
          <w:b/>
          <w:bCs/>
        </w:rPr>
        <w:t>19</w:t>
      </w:r>
      <w:r w:rsidRPr="00B24BB6">
        <w:rPr>
          <w:b/>
          <w:bCs/>
        </w:rPr>
        <w:t xml:space="preserve">: Study </w:t>
      </w:r>
      <w:r>
        <w:rPr>
          <w:b/>
          <w:bCs/>
        </w:rPr>
        <w:t>the introduction of low-density downlink DMRS for AI/ML-based channel estimation.</w:t>
      </w:r>
    </w:p>
    <w:p w14:paraId="1A7E1D4B" w14:textId="77777777" w:rsidR="00CB484E" w:rsidRPr="008A44CE" w:rsidRDefault="00CB484E" w:rsidP="00E70A73"/>
    <w:p w14:paraId="73367825" w14:textId="77777777" w:rsidR="00CB484E" w:rsidRDefault="00CB484E" w:rsidP="00E70A73">
      <w:r>
        <w:rPr>
          <w:b/>
          <w:bCs/>
          <w:u w:val="single"/>
        </w:rPr>
        <w:t>Sub-use cases for low overhead DMRS with AI/ML receiver</w:t>
      </w:r>
      <w:r>
        <w:rPr>
          <w:rFonts w:hint="eastAsia"/>
          <w:b/>
          <w:bCs/>
        </w:rPr>
        <w:t>:</w:t>
      </w:r>
    </w:p>
    <w:p w14:paraId="0BAC2299" w14:textId="77777777" w:rsidR="00CB484E" w:rsidRDefault="00CB484E" w:rsidP="00E70A73">
      <w:r>
        <w:rPr>
          <w:rFonts w:hint="eastAsia"/>
        </w:rPr>
        <w:t>I</w:t>
      </w:r>
      <w:r>
        <w:t>n the RAN1#122-bis and RAN1#123 meetings, three sub-use cases were identified for low-overhead DMRS. Sub-use case A targets the support of sparse orthogonal DMRS in the frequency and/or time domain. Sub-use case B considers the use of superimposed pilots. Sub-use case C focuses on DMRS-free transmission. This contribution provides our views on each of these sub-use cases.</w:t>
      </w:r>
    </w:p>
    <w:p w14:paraId="65B8047F" w14:textId="77777777" w:rsidR="00CB484E" w:rsidRDefault="00CB484E" w:rsidP="00E70A73">
      <w:r>
        <w:rPr>
          <w:rFonts w:hint="eastAsia"/>
        </w:rPr>
        <w:t>F</w:t>
      </w:r>
      <w:r>
        <w:t>or sub-use case A, the key objective is to enable low-density DMRS in the frequency and/or time domain. From our perspective, this sub-use case is the most feasible and offers better compatibility with non-AI based schemes compared to the other sub-use cases. Since this approach only reduces the density of DMRS resource elements without requiring additional UE procedures on data REs for channel estimation, the receiver complexity for AI-based implementations is lower than that of the other sub-use cases. In addition, as the reference signal density is reduced compared to legacy systems, the overhead associated with RS transmission is decreased, which allows more resources to be allocated to data transmission, thereby improving throughput. Although the achievable throughput may be lower than that of sub-use cases B and C – where most or all REs can potentially be used for data transmission – compatibility with non-AI capable UEs and legacy systems remains an important requirement for future radio systems. Furthermore, from the perspective of the feasibility study agreed in RAN1#123, sub-use case A is considered more practical than the other sub-use cases. Therefore, we propose to prioritize the study of sub-use case A for introducing low-density downlink DMRS for AI/ML-based channel estimation.</w:t>
      </w:r>
    </w:p>
    <w:p w14:paraId="5F916FD3" w14:textId="4BF3AD78" w:rsidR="00CB484E" w:rsidRPr="00B24BB6" w:rsidRDefault="00CB484E" w:rsidP="00E70A73">
      <w:pPr>
        <w:rPr>
          <w:b/>
          <w:bCs/>
        </w:rPr>
      </w:pPr>
      <w:r w:rsidRPr="00B24BB6">
        <w:rPr>
          <w:b/>
          <w:bCs/>
        </w:rPr>
        <w:t xml:space="preserve">Proposal </w:t>
      </w:r>
      <w:r w:rsidR="008D1951">
        <w:rPr>
          <w:rFonts w:hint="eastAsia"/>
          <w:b/>
          <w:bCs/>
        </w:rPr>
        <w:t>20</w:t>
      </w:r>
      <w:r w:rsidRPr="00B24BB6">
        <w:rPr>
          <w:b/>
          <w:bCs/>
        </w:rPr>
        <w:t>: Study</w:t>
      </w:r>
      <w:r>
        <w:rPr>
          <w:b/>
          <w:bCs/>
        </w:rPr>
        <w:t xml:space="preserve"> the introduction of sparse orthogonal DMRS in the frequency and/or time domain </w:t>
      </w:r>
      <w:r>
        <w:rPr>
          <w:b/>
          <w:bCs/>
        </w:rPr>
        <w:lastRenderedPageBreak/>
        <w:t>(Sub-use case A) for low-overhead DMRS with AI receiver.</w:t>
      </w:r>
    </w:p>
    <w:p w14:paraId="697BDCDF" w14:textId="77777777" w:rsidR="00CB484E" w:rsidRDefault="00CB484E" w:rsidP="00E70A73"/>
    <w:p w14:paraId="4FD55471" w14:textId="77777777" w:rsidR="00CB484E" w:rsidRDefault="00CB484E" w:rsidP="00E70A73">
      <w:r>
        <w:rPr>
          <w:rFonts w:hint="eastAsia"/>
        </w:rPr>
        <w:t>F</w:t>
      </w:r>
      <w:r>
        <w:t xml:space="preserve">or sub-use case B, the achievable throughput is expected to be significantly higher than that of legacy systems or sub-use case A. As this scheme employs superimposed pilots, all REs can theoretically be utilized for data transmission. However, this approach is not compatible with legacy systems or non-AI capable UEs. In addition, the receiver complexity is higher </w:t>
      </w:r>
      <w:r>
        <w:rPr>
          <w:rFonts w:hint="eastAsia"/>
        </w:rPr>
        <w:t>t</w:t>
      </w:r>
      <w:r>
        <w:t>han that of sub-use case A, as the UE is required to perform channel estimation, equalization, and data detection jointly. Moreover, sub-use case B is expected to have a larger specification impact, since not only the superimposed DMRS structure but also the overall UE receiving procedures would need to be newly specified. Therefore, from our perspective, sub-use case B requires further verification in terms of feasibility, compatibility, and robustness against impairments such as phase noise before being considered as a study item for 6G radio.</w:t>
      </w:r>
    </w:p>
    <w:p w14:paraId="46154F70" w14:textId="77777777" w:rsidR="00CB484E" w:rsidRDefault="00CB484E" w:rsidP="00E70A73">
      <w:r>
        <w:rPr>
          <w:rFonts w:hint="eastAsia"/>
        </w:rPr>
        <w:t>F</w:t>
      </w:r>
      <w:r>
        <w:t>or sub-use case C, high throughput is also anticipated due to the absence of DMRS. Accordingly, this scheme may theoretically achieve the highest spectral efficiency. However, similar to sub-use case B, its feasibility should be sufficiently verified before being promoted to a study item for 6GR. From our perspective, DMRS-free transmission is not compatible with non-AI capable UEs. Furthermore, both the AI model complexity and the receiver complexity are expected to be extremely high, resulting in a significant UE burden in terms of receiver complexity, processing latency, and power consumption. In addition, sub-use case C is expected to introduce substantial specification impact. Given the scope of required changes, there are concerns regarding whether RAN1 can complete the Rel-20 study item and the Rel-21 work item within the given timeline for this sub-use case.</w:t>
      </w:r>
    </w:p>
    <w:p w14:paraId="3A95541B" w14:textId="23F515C4" w:rsidR="00CB484E" w:rsidRDefault="00CB484E" w:rsidP="00E70A73">
      <w:pPr>
        <w:rPr>
          <w:b/>
          <w:bCs/>
        </w:rPr>
      </w:pPr>
      <w:r>
        <w:rPr>
          <w:b/>
          <w:bCs/>
        </w:rPr>
        <w:t>Observation</w:t>
      </w:r>
      <w:r w:rsidRPr="00B24BB6">
        <w:rPr>
          <w:b/>
          <w:bCs/>
        </w:rPr>
        <w:t xml:space="preserve"> </w:t>
      </w:r>
      <w:r w:rsidR="008D1951">
        <w:rPr>
          <w:rFonts w:hint="eastAsia"/>
          <w:b/>
          <w:bCs/>
        </w:rPr>
        <w:t>1</w:t>
      </w:r>
      <w:r w:rsidRPr="00B24BB6">
        <w:rPr>
          <w:b/>
          <w:bCs/>
        </w:rPr>
        <w:t>:</w:t>
      </w:r>
      <w:r>
        <w:rPr>
          <w:b/>
          <w:bCs/>
        </w:rPr>
        <w:t xml:space="preserve"> For superimposed pilot and DMRS-free transmission (Sub-use case B, C), further studies are required to verify feasibility, compatibility with non-AI capable systems, and robustness against noise and other impairments in the context of 6GR.</w:t>
      </w:r>
    </w:p>
    <w:p w14:paraId="0DC8502D" w14:textId="77777777" w:rsidR="00CB484E" w:rsidRPr="008A44CE" w:rsidRDefault="00CB484E" w:rsidP="00E70A73"/>
    <w:p w14:paraId="58B882F2" w14:textId="77777777" w:rsidR="00CB484E" w:rsidRPr="00F877B8" w:rsidRDefault="00CB484E" w:rsidP="00E70A73">
      <w:r>
        <w:rPr>
          <w:b/>
          <w:bCs/>
          <w:u w:val="single"/>
        </w:rPr>
        <w:t>Overall views on sparse orthogonal DMRS in frequency and/or time domain</w:t>
      </w:r>
      <w:r>
        <w:rPr>
          <w:rFonts w:hint="eastAsia"/>
          <w:b/>
          <w:bCs/>
        </w:rPr>
        <w:t>:</w:t>
      </w:r>
    </w:p>
    <w:p w14:paraId="39846B63" w14:textId="77777777" w:rsidR="00CB484E" w:rsidRDefault="00CB484E" w:rsidP="00E70A73">
      <w:r>
        <w:rPr>
          <w:rFonts w:hint="eastAsia"/>
        </w:rPr>
        <w:t>A</w:t>
      </w:r>
      <w:r>
        <w:t>s sparse orthogonal DMRS employs a lower density than legacy systems, a new DMRS design is required. In particular, when low-overhead DMRS is supported, the DMRS pattern design needs to be specified to accommodate the reduced density. For the DMRS pattern in the time domain, studies are required on the number of DMRS OFDM symbols per slot. For example, it should be investigated whether a single DMRS symbol per slot is sufficient or whether two or more symbols are required to support AI receivers for 6GR use cases. For the DMRS pattern in the frequency domain, studies on DMRS density are also necessary. Specifically, it should be examined whether DMRS density reduction can be applied at the inter-PRB level or the intra-PRB level. In addition, further investigation is needed to determine the extent to which the DMRS density can be reduced while maintaining acceptable channel estimation performance.</w:t>
      </w:r>
    </w:p>
    <w:p w14:paraId="281876E7" w14:textId="7836D1BD" w:rsidR="00CB484E" w:rsidRPr="00262216" w:rsidRDefault="00CB484E" w:rsidP="00E70A73">
      <w:pPr>
        <w:rPr>
          <w:b/>
          <w:bCs/>
        </w:rPr>
      </w:pPr>
      <w:r w:rsidRPr="00B24BB6">
        <w:rPr>
          <w:b/>
          <w:bCs/>
        </w:rPr>
        <w:t xml:space="preserve">Proposal </w:t>
      </w:r>
      <w:r w:rsidR="008D1951">
        <w:rPr>
          <w:rFonts w:hint="eastAsia"/>
          <w:b/>
          <w:bCs/>
        </w:rPr>
        <w:t>21</w:t>
      </w:r>
      <w:r w:rsidRPr="00B24BB6">
        <w:rPr>
          <w:b/>
          <w:bCs/>
        </w:rPr>
        <w:t>: Study</w:t>
      </w:r>
      <w:r>
        <w:rPr>
          <w:b/>
          <w:bCs/>
        </w:rPr>
        <w:t xml:space="preserve"> the DMRS pattern design to enable DMRS density reduction when low-overhead downlink DMRS is supported.</w:t>
      </w:r>
    </w:p>
    <w:p w14:paraId="4D964FC3" w14:textId="77777777" w:rsidR="00CB484E" w:rsidRDefault="00CB484E" w:rsidP="00E70A73"/>
    <w:p w14:paraId="1A7ECF7F" w14:textId="3757765B" w:rsidR="00CB484E" w:rsidRDefault="00CB484E" w:rsidP="00E70A73">
      <w:r>
        <w:rPr>
          <w:rFonts w:hint="eastAsia"/>
        </w:rPr>
        <w:t>W</w:t>
      </w:r>
      <w:r>
        <w:t xml:space="preserve">hen low-overhead downlink DMRS is supported, the UE is expected to receive signals using an AI receiver. For the AI/ML employed in the AI receiver, the model input may consist of received signals at DMRS and/or data resource elements. From our perspective, there are two candidate options for the output of the AI/ML model. The first option is that the AI/ML model outputs estimated channel information at the target data and/or DMRS REs, as illustrated in </w:t>
      </w:r>
      <w:r w:rsidR="008C62D8">
        <w:rPr>
          <w:color w:val="FF0000"/>
        </w:rPr>
        <w:fldChar w:fldCharType="begin"/>
      </w:r>
      <w:r w:rsidR="008C62D8">
        <w:instrText xml:space="preserve"> REF _Ref220535662 \h </w:instrText>
      </w:r>
      <w:r w:rsidR="008C62D8">
        <w:rPr>
          <w:color w:val="FF0000"/>
        </w:rPr>
      </w:r>
      <w:r w:rsidR="00E70A73">
        <w:rPr>
          <w:color w:val="FF0000"/>
        </w:rPr>
        <w:instrText xml:space="preserve"> \* MERGEFORMAT </w:instrText>
      </w:r>
      <w:r w:rsidR="008C62D8">
        <w:rPr>
          <w:color w:val="FF0000"/>
        </w:rPr>
        <w:fldChar w:fldCharType="separate"/>
      </w:r>
      <w:r w:rsidR="008C62D8">
        <w:t xml:space="preserve">Figure </w:t>
      </w:r>
      <w:r w:rsidR="008C62D8">
        <w:rPr>
          <w:noProof/>
        </w:rPr>
        <w:t>1</w:t>
      </w:r>
      <w:r w:rsidR="008C62D8">
        <w:rPr>
          <w:color w:val="FF0000"/>
        </w:rPr>
        <w:fldChar w:fldCharType="end"/>
      </w:r>
      <w:r>
        <w:t xml:space="preserve">. The second option is that AI/ML model directly outputs log-likelihood ratios (LLRs), since the ultimate objective of the AI receiver is the successful decoding of the physical downlink shared channel. However, for signaling and procedures related to the life-cycle management (LCM) of UE-side AI/ML models, it </w:t>
      </w:r>
      <w:r>
        <w:lastRenderedPageBreak/>
        <w:t>may be necessary to determine the type of AI/ML model output supported by the AI receiver at the UE. Therefore, we propose to study and evaluate candidate AI/ML model outputs for UE-side AI receivers.</w:t>
      </w:r>
    </w:p>
    <w:p w14:paraId="2F708291" w14:textId="77777777" w:rsidR="008C62D8" w:rsidRDefault="00CB484E" w:rsidP="00E70A73">
      <w:pPr>
        <w:keepNext/>
        <w:spacing w:after="120" w:line="276" w:lineRule="auto"/>
        <w:jc w:val="center"/>
      </w:pPr>
      <w:r w:rsidRPr="00AC3D50">
        <w:rPr>
          <w:rFonts w:eastAsia="바탕"/>
          <w:iCs/>
          <w:noProof/>
          <w:szCs w:val="28"/>
        </w:rPr>
        <w:drawing>
          <wp:inline distT="0" distB="0" distL="0" distR="0" wp14:anchorId="51977E5E" wp14:editId="3F1E985B">
            <wp:extent cx="5113666" cy="2971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34567" cy="2983947"/>
                    </a:xfrm>
                    <a:prstGeom prst="rect">
                      <a:avLst/>
                    </a:prstGeom>
                  </pic:spPr>
                </pic:pic>
              </a:graphicData>
            </a:graphic>
          </wp:inline>
        </w:drawing>
      </w:r>
    </w:p>
    <w:p w14:paraId="0DEB04F2" w14:textId="11C2F85A" w:rsidR="00CB484E" w:rsidRPr="008C62D8" w:rsidRDefault="008C62D8" w:rsidP="00E70A73">
      <w:pPr>
        <w:pStyle w:val="ad"/>
        <w:jc w:val="center"/>
        <w:rPr>
          <w:rFonts w:eastAsiaTheme="minorEastAsia"/>
          <w:lang w:eastAsia="ko-KR"/>
        </w:rPr>
      </w:pPr>
      <w:bookmarkStart w:id="6" w:name="_Ref220535662"/>
      <w:r>
        <w:t xml:space="preserve">Figure </w:t>
      </w:r>
      <w:r>
        <w:fldChar w:fldCharType="begin"/>
      </w:r>
      <w:r>
        <w:instrText xml:space="preserve"> SEQ Figure \* ARABIC </w:instrText>
      </w:r>
      <w:r>
        <w:fldChar w:fldCharType="separate"/>
      </w:r>
      <w:r>
        <w:rPr>
          <w:noProof/>
        </w:rPr>
        <w:t>1</w:t>
      </w:r>
      <w:r>
        <w:fldChar w:fldCharType="end"/>
      </w:r>
      <w:bookmarkEnd w:id="6"/>
      <w:r>
        <w:rPr>
          <w:rFonts w:eastAsiaTheme="minorEastAsia"/>
          <w:lang w:eastAsia="ko-KR"/>
        </w:rPr>
        <w:tab/>
      </w:r>
      <w:r w:rsidRPr="008C62D8">
        <w:rPr>
          <w:rFonts w:eastAsiaTheme="minorEastAsia"/>
          <w:lang w:eastAsia="ko-KR"/>
        </w:rPr>
        <w:t>Examples for AI/ML model of AI receiver for low-overhead DL DMRS</w:t>
      </w:r>
    </w:p>
    <w:p w14:paraId="2B8E1290" w14:textId="6A7D2561" w:rsidR="00CB484E" w:rsidRPr="005F1362" w:rsidRDefault="00CB484E" w:rsidP="00E70A73">
      <w:pPr>
        <w:rPr>
          <w:b/>
          <w:bCs/>
        </w:rPr>
      </w:pPr>
      <w:r w:rsidRPr="00B24BB6">
        <w:rPr>
          <w:b/>
          <w:bCs/>
        </w:rPr>
        <w:t xml:space="preserve">Proposal </w:t>
      </w:r>
      <w:r w:rsidR="008D1951">
        <w:rPr>
          <w:rFonts w:hint="eastAsia"/>
          <w:b/>
          <w:bCs/>
        </w:rPr>
        <w:t>22</w:t>
      </w:r>
      <w:r w:rsidR="002F4E3D">
        <w:rPr>
          <w:rFonts w:hint="eastAsia"/>
          <w:b/>
          <w:bCs/>
        </w:rPr>
        <w:t>:</w:t>
      </w:r>
      <w:r w:rsidRPr="00B24BB6">
        <w:rPr>
          <w:b/>
          <w:bCs/>
        </w:rPr>
        <w:t xml:space="preserve"> Study</w:t>
      </w:r>
      <w:r>
        <w:rPr>
          <w:b/>
          <w:bCs/>
        </w:rPr>
        <w:t xml:space="preserve"> the AI/ML model output of UE-side AI receivers for the specification of life cycle management procedures.</w:t>
      </w:r>
    </w:p>
    <w:p w14:paraId="046AE918" w14:textId="77777777" w:rsidR="00CB484E" w:rsidRDefault="00CB484E" w:rsidP="00E70A73"/>
    <w:p w14:paraId="147CFBD6" w14:textId="77777777" w:rsidR="00CB484E" w:rsidRDefault="00CB484E" w:rsidP="00E70A73">
      <w:r>
        <w:rPr>
          <w:rFonts w:hint="eastAsia"/>
        </w:rPr>
        <w:t>F</w:t>
      </w:r>
      <w:r>
        <w:t>or low-overhead downlink DMRS with AI receivers, it is also essential to study the specification impact on LCM procedures for UE-side AI/ML models. In particular, procedures and signaling for data collection, model training, and model inference of AI/ML models need to be specified. Since the properties of downlink DMRS differ from those of CSI-RS, existing LCM procedures defined for 5G-Advanced use cases may have limitations when reused for low-overhead DL DMRS scenarios in 6G radio. In addition, for performance monitoring, specification efforts are required not only for related procedures but also for performance metrics. Therefore, the specification impact on LCM procedures for UE-side AI/ML models should be studied when sparse orthogonal downlink DMRS is supported.</w:t>
      </w:r>
    </w:p>
    <w:p w14:paraId="19D60A79" w14:textId="0A68672D" w:rsidR="00CB484E" w:rsidRPr="00400B8B" w:rsidRDefault="00CB484E" w:rsidP="00E70A73">
      <w:pPr>
        <w:rPr>
          <w:b/>
          <w:bCs/>
        </w:rPr>
      </w:pPr>
      <w:r w:rsidRPr="00B24BB6">
        <w:rPr>
          <w:b/>
          <w:bCs/>
        </w:rPr>
        <w:t xml:space="preserve">Proposal </w:t>
      </w:r>
      <w:r w:rsidR="008D1951">
        <w:rPr>
          <w:rFonts w:hint="eastAsia"/>
          <w:b/>
          <w:bCs/>
        </w:rPr>
        <w:t>23</w:t>
      </w:r>
      <w:r w:rsidR="002F4E3D">
        <w:rPr>
          <w:rFonts w:hint="eastAsia"/>
          <w:b/>
          <w:bCs/>
        </w:rPr>
        <w:t>:</w:t>
      </w:r>
      <w:r w:rsidRPr="00B24BB6">
        <w:rPr>
          <w:b/>
          <w:bCs/>
        </w:rPr>
        <w:t xml:space="preserve"> Study</w:t>
      </w:r>
      <w:r>
        <w:rPr>
          <w:b/>
          <w:bCs/>
        </w:rPr>
        <w:t xml:space="preserve"> the specification impact on LCM procedures for UE-side AI receivers with sparse orthogonal downlink DMRS.</w:t>
      </w:r>
    </w:p>
    <w:p w14:paraId="435C939B" w14:textId="77777777" w:rsidR="00CB484E" w:rsidRPr="0070110D" w:rsidRDefault="00CB484E" w:rsidP="00E70A73"/>
    <w:p w14:paraId="07FD3CB2" w14:textId="3297D13A" w:rsidR="009161F9" w:rsidRDefault="009161F9" w:rsidP="00E70A73">
      <w:pPr>
        <w:pStyle w:val="1"/>
      </w:pPr>
      <w:r>
        <w:rPr>
          <w:rFonts w:hint="eastAsia"/>
        </w:rPr>
        <w:t>Conclusion</w:t>
      </w:r>
    </w:p>
    <w:p w14:paraId="7B211E71" w14:textId="77777777" w:rsidR="000F621D" w:rsidRDefault="000F621D" w:rsidP="00E70A73">
      <w:r>
        <w:t>In this contribution, we have discussed downlink transmission scheme(s) for downlink shared channels for 6GR.</w:t>
      </w:r>
    </w:p>
    <w:p w14:paraId="4099C5F8" w14:textId="77777777" w:rsidR="000F621D" w:rsidRDefault="000F621D" w:rsidP="00E70A73">
      <w:r>
        <w:t xml:space="preserve">We propose the followings: </w:t>
      </w:r>
    </w:p>
    <w:p w14:paraId="4CE76FBC" w14:textId="5975A689" w:rsidR="00CB484E" w:rsidRPr="00D83BE5" w:rsidRDefault="00C61E69" w:rsidP="00E70A73">
      <w:pPr>
        <w:rPr>
          <w:b/>
          <w:bCs/>
        </w:rPr>
      </w:pPr>
      <w:r w:rsidRPr="00C61E69">
        <w:rPr>
          <w:b/>
          <w:bCs/>
          <w:u w:val="single"/>
        </w:rPr>
        <w:t>Transmission scheme(s) for PDSCH</w:t>
      </w:r>
      <w:r w:rsidR="00CB484E" w:rsidRPr="00D83BE5">
        <w:rPr>
          <w:rFonts w:hint="eastAsia"/>
          <w:b/>
          <w:bCs/>
        </w:rPr>
        <w:t>:</w:t>
      </w:r>
    </w:p>
    <w:p w14:paraId="4FA6A8F4" w14:textId="07D63C5B" w:rsidR="00331FF5" w:rsidRPr="00AB2E67" w:rsidRDefault="00331FF5" w:rsidP="00E70A73">
      <w:pPr>
        <w:rPr>
          <w:b/>
          <w:bCs/>
        </w:rPr>
      </w:pPr>
      <w:r w:rsidRPr="00AB2E67">
        <w:rPr>
          <w:b/>
          <w:bCs/>
        </w:rPr>
        <w:t xml:space="preserve">Proposal 1: Support a single transmission mode based on </w:t>
      </w:r>
      <w:proofErr w:type="spellStart"/>
      <w:r w:rsidRPr="00AB2E67">
        <w:rPr>
          <w:b/>
          <w:bCs/>
        </w:rPr>
        <w:t>precoded</w:t>
      </w:r>
      <w:proofErr w:type="spellEnd"/>
      <w:r w:rsidRPr="00AB2E67">
        <w:rPr>
          <w:b/>
          <w:bCs/>
        </w:rPr>
        <w:t xml:space="preserve"> DMRS for PDSCH transmission in 6GR.</w:t>
      </w:r>
    </w:p>
    <w:p w14:paraId="47AC7913" w14:textId="187EFB94" w:rsidR="00331FF5" w:rsidRDefault="00331FF5" w:rsidP="00E70A73">
      <w:pPr>
        <w:rPr>
          <w:b/>
          <w:bCs/>
        </w:rPr>
      </w:pPr>
      <w:r w:rsidRPr="00AB2E67">
        <w:rPr>
          <w:b/>
          <w:bCs/>
        </w:rPr>
        <w:lastRenderedPageBreak/>
        <w:t xml:space="preserve">Proposal 2: </w:t>
      </w:r>
      <w:r w:rsidR="004B5C10">
        <w:rPr>
          <w:rFonts w:hint="eastAsia"/>
          <w:b/>
          <w:bCs/>
        </w:rPr>
        <w:t>Consider</w:t>
      </w:r>
      <w:r w:rsidR="004B5C10" w:rsidRPr="00AB2E67">
        <w:rPr>
          <w:b/>
          <w:bCs/>
        </w:rPr>
        <w:t xml:space="preserve"> up to </w:t>
      </w:r>
      <w:r w:rsidR="004B5C10">
        <w:rPr>
          <w:rFonts w:hint="eastAsia"/>
          <w:b/>
          <w:bCs/>
        </w:rPr>
        <w:t xml:space="preserve">256 (or </w:t>
      </w:r>
      <w:r w:rsidR="004B5C10" w:rsidRPr="00AB2E67">
        <w:rPr>
          <w:b/>
          <w:bCs/>
        </w:rPr>
        <w:t>512</w:t>
      </w:r>
      <w:r w:rsidR="004B5C10">
        <w:rPr>
          <w:rFonts w:hint="eastAsia"/>
          <w:b/>
          <w:bCs/>
        </w:rPr>
        <w:t>)</w:t>
      </w:r>
      <w:r w:rsidR="004B5C10" w:rsidRPr="00AB2E67">
        <w:rPr>
          <w:b/>
          <w:bCs/>
        </w:rPr>
        <w:t xml:space="preserve"> </w:t>
      </w:r>
      <w:r w:rsidR="004B5C10">
        <w:rPr>
          <w:rFonts w:hint="eastAsia"/>
          <w:b/>
          <w:bCs/>
        </w:rPr>
        <w:t>logical antenna</w:t>
      </w:r>
      <w:r w:rsidR="004B5C10" w:rsidRPr="00AB2E67">
        <w:rPr>
          <w:b/>
          <w:bCs/>
        </w:rPr>
        <w:t xml:space="preserve"> ports</w:t>
      </w:r>
      <w:r w:rsidR="004B5C10">
        <w:rPr>
          <w:rFonts w:hint="eastAsia"/>
          <w:b/>
          <w:bCs/>
        </w:rPr>
        <w:t xml:space="preserve"> onto which PDSCH layers are mapped in 6GR</w:t>
      </w:r>
      <w:r w:rsidR="004B5C10" w:rsidRPr="00AB2E67">
        <w:rPr>
          <w:b/>
          <w:bCs/>
        </w:rPr>
        <w:t>.</w:t>
      </w:r>
    </w:p>
    <w:p w14:paraId="7DC71728" w14:textId="77777777" w:rsidR="004D4731" w:rsidRPr="004D4731" w:rsidRDefault="004D4731" w:rsidP="00E70A73">
      <w:pPr>
        <w:rPr>
          <w:b/>
          <w:bCs/>
        </w:rPr>
      </w:pPr>
      <w:r w:rsidRPr="004D4731">
        <w:rPr>
          <w:b/>
          <w:bCs/>
        </w:rPr>
        <w:t>Proposal 3: Support up to 12 or 16 layers for PDSCH transmission using SU-MIMO in 6GR.</w:t>
      </w:r>
    </w:p>
    <w:p w14:paraId="59D05443" w14:textId="77777777" w:rsidR="004D4731" w:rsidRPr="004D4731" w:rsidRDefault="004D4731" w:rsidP="00E70A73">
      <w:pPr>
        <w:rPr>
          <w:b/>
          <w:bCs/>
        </w:rPr>
      </w:pPr>
      <w:r w:rsidRPr="004D4731">
        <w:rPr>
          <w:b/>
          <w:bCs/>
        </w:rPr>
        <w:t>Proposal 4: Support up to two codewords for PDSCH transmission using SU-MIMO in 6GR.</w:t>
      </w:r>
    </w:p>
    <w:p w14:paraId="283D7C90" w14:textId="77777777" w:rsidR="004D4731" w:rsidRPr="004D4731" w:rsidRDefault="004D4731" w:rsidP="00E70A73">
      <w:pPr>
        <w:rPr>
          <w:b/>
          <w:bCs/>
        </w:rPr>
      </w:pPr>
      <w:r w:rsidRPr="004D4731">
        <w:rPr>
          <w:b/>
          <w:bCs/>
        </w:rPr>
        <w:t>Proposal 5: Support up to 6 or 8 layers per codeword for PDSCH transmission using SU-MIMO in 6GR.</w:t>
      </w:r>
    </w:p>
    <w:p w14:paraId="0F17D141" w14:textId="37CDDA24" w:rsidR="004D4731" w:rsidRPr="004D4731" w:rsidRDefault="004D4731" w:rsidP="00E70A73">
      <w:pPr>
        <w:rPr>
          <w:b/>
          <w:bCs/>
        </w:rPr>
      </w:pPr>
      <w:r w:rsidRPr="004D4731">
        <w:rPr>
          <w:b/>
          <w:bCs/>
        </w:rPr>
        <w:t>Proposal 6: Support up to 64 layers for PDSCH transmission using MU-MIMO in 6GR.</w:t>
      </w:r>
    </w:p>
    <w:p w14:paraId="1FC36BA7" w14:textId="77777777" w:rsidR="004D4731" w:rsidRPr="004D4731" w:rsidRDefault="004D4731" w:rsidP="00E70A73">
      <w:pPr>
        <w:rPr>
          <w:b/>
          <w:bCs/>
        </w:rPr>
      </w:pPr>
      <w:r w:rsidRPr="004D4731">
        <w:rPr>
          <w:b/>
          <w:bCs/>
        </w:rPr>
        <w:t>Proposal 7: Support a single codeword per UE for PDSCH transmission using MU-MIMO in 6GR.</w:t>
      </w:r>
    </w:p>
    <w:p w14:paraId="70824526" w14:textId="2705B29F" w:rsidR="00B93694" w:rsidRDefault="004D4731" w:rsidP="00E70A73">
      <w:pPr>
        <w:rPr>
          <w:b/>
          <w:bCs/>
        </w:rPr>
      </w:pPr>
      <w:r w:rsidRPr="004D4731">
        <w:rPr>
          <w:b/>
          <w:bCs/>
        </w:rPr>
        <w:t>Proposal 8: Support up to 6 or 8 layers per UE for PDSCH transmission using MU-MIMO in 6GR.</w:t>
      </w:r>
    </w:p>
    <w:p w14:paraId="13C889FE" w14:textId="189146A4" w:rsidR="00331FF5" w:rsidRPr="00AB2E67" w:rsidRDefault="00331FF5" w:rsidP="00E70A73">
      <w:pPr>
        <w:rPr>
          <w:b/>
          <w:bCs/>
        </w:rPr>
      </w:pPr>
      <w:r w:rsidRPr="00AB2E67">
        <w:rPr>
          <w:b/>
          <w:bCs/>
        </w:rPr>
        <w:t>Proposal</w:t>
      </w:r>
      <w:r w:rsidR="00C6645C">
        <w:rPr>
          <w:rFonts w:hint="eastAsia"/>
          <w:b/>
          <w:bCs/>
        </w:rPr>
        <w:t xml:space="preserve"> 9</w:t>
      </w:r>
      <w:r w:rsidRPr="00AB2E67">
        <w:rPr>
          <w:b/>
          <w:bCs/>
        </w:rPr>
        <w:t xml:space="preserve">: Support </w:t>
      </w:r>
      <w:proofErr w:type="spellStart"/>
      <w:r w:rsidRPr="00AB2E67">
        <w:rPr>
          <w:b/>
          <w:bCs/>
        </w:rPr>
        <w:t>mTRP</w:t>
      </w:r>
      <w:proofErr w:type="spellEnd"/>
      <w:r w:rsidRPr="00AB2E67">
        <w:rPr>
          <w:b/>
          <w:bCs/>
        </w:rPr>
        <w:t>-native design for enhanced coverage in 6GR.</w:t>
      </w:r>
    </w:p>
    <w:p w14:paraId="0F628C93" w14:textId="64B6345F" w:rsidR="00331FF5" w:rsidRDefault="00331FF5" w:rsidP="00E70A73">
      <w:pPr>
        <w:rPr>
          <w:b/>
          <w:bCs/>
        </w:rPr>
      </w:pPr>
      <w:r w:rsidRPr="00AB2E67">
        <w:rPr>
          <w:b/>
          <w:bCs/>
        </w:rPr>
        <w:t xml:space="preserve">Proposal </w:t>
      </w:r>
      <w:r w:rsidR="00C6645C">
        <w:rPr>
          <w:rFonts w:hint="eastAsia"/>
          <w:b/>
          <w:bCs/>
        </w:rPr>
        <w:t>10</w:t>
      </w:r>
      <w:r w:rsidRPr="00AB2E67">
        <w:rPr>
          <w:b/>
          <w:bCs/>
        </w:rPr>
        <w:t xml:space="preserve">: Reuse NR </w:t>
      </w:r>
      <w:proofErr w:type="spellStart"/>
      <w:r w:rsidRPr="00AB2E67">
        <w:rPr>
          <w:b/>
          <w:bCs/>
        </w:rPr>
        <w:t>mTRP</w:t>
      </w:r>
      <w:proofErr w:type="spellEnd"/>
      <w:r w:rsidRPr="00AB2E67">
        <w:rPr>
          <w:b/>
          <w:bCs/>
        </w:rPr>
        <w:t xml:space="preserve"> transmission schemes as baseline</w:t>
      </w:r>
      <w:r w:rsidR="00690FE7">
        <w:rPr>
          <w:rFonts w:hint="eastAsia"/>
          <w:b/>
          <w:bCs/>
        </w:rPr>
        <w:t xml:space="preserve"> in 6GR</w:t>
      </w:r>
      <w:r w:rsidRPr="00AB2E67">
        <w:rPr>
          <w:b/>
          <w:bCs/>
        </w:rPr>
        <w:t>.</w:t>
      </w:r>
    </w:p>
    <w:p w14:paraId="686EC40C" w14:textId="25D72F09" w:rsidR="00331FF5" w:rsidRPr="00AB2E67" w:rsidRDefault="00701D6E" w:rsidP="00E70A73">
      <w:pPr>
        <w:rPr>
          <w:b/>
          <w:bCs/>
        </w:rPr>
      </w:pPr>
      <w:r w:rsidRPr="00AB2E67">
        <w:rPr>
          <w:b/>
          <w:bCs/>
        </w:rPr>
        <w:t>Proposal 1</w:t>
      </w:r>
      <w:r w:rsidR="002E3B65">
        <w:rPr>
          <w:rFonts w:hint="eastAsia"/>
          <w:b/>
          <w:bCs/>
        </w:rPr>
        <w:t>1</w:t>
      </w:r>
      <w:r w:rsidRPr="00AB2E67">
        <w:rPr>
          <w:b/>
          <w:bCs/>
        </w:rPr>
        <w:t xml:space="preserve">: Support SDM-based MRSS for </w:t>
      </w:r>
      <w:r>
        <w:rPr>
          <w:rFonts w:hint="eastAsia"/>
          <w:b/>
          <w:bCs/>
        </w:rPr>
        <w:t>PDSCH and associated DMRS</w:t>
      </w:r>
      <w:r w:rsidRPr="00AB2E67">
        <w:rPr>
          <w:b/>
          <w:bCs/>
        </w:rPr>
        <w:t xml:space="preserve"> across NR and 6GR UEs</w:t>
      </w:r>
      <w:r w:rsidR="00EC2BFF">
        <w:rPr>
          <w:rFonts w:hint="eastAsia"/>
          <w:b/>
          <w:bCs/>
        </w:rPr>
        <w:t xml:space="preserve"> in 6GR</w:t>
      </w:r>
      <w:r w:rsidRPr="00AB2E67">
        <w:rPr>
          <w:b/>
          <w:bCs/>
        </w:rPr>
        <w:t>.</w:t>
      </w:r>
    </w:p>
    <w:p w14:paraId="1ED61B45" w14:textId="2F0536C2" w:rsidR="00331FF5" w:rsidRPr="00AB2E67" w:rsidRDefault="00331FF5" w:rsidP="00E70A73">
      <w:pPr>
        <w:rPr>
          <w:b/>
          <w:bCs/>
        </w:rPr>
      </w:pPr>
      <w:r w:rsidRPr="00AB2E67">
        <w:rPr>
          <w:b/>
          <w:bCs/>
        </w:rPr>
        <w:t>Proposal 1</w:t>
      </w:r>
      <w:r w:rsidR="002E3B65">
        <w:rPr>
          <w:rFonts w:hint="eastAsia"/>
          <w:b/>
          <w:bCs/>
        </w:rPr>
        <w:t>2</w:t>
      </w:r>
      <w:r w:rsidRPr="00AB2E67">
        <w:rPr>
          <w:b/>
          <w:bCs/>
        </w:rPr>
        <w:t xml:space="preserve">: </w:t>
      </w:r>
      <w:r w:rsidR="00433D29">
        <w:rPr>
          <w:rFonts w:hint="eastAsia"/>
          <w:b/>
          <w:bCs/>
        </w:rPr>
        <w:t>Study</w:t>
      </w:r>
      <w:r w:rsidRPr="00AB2E67">
        <w:rPr>
          <w:b/>
          <w:bCs/>
        </w:rPr>
        <w:t xml:space="preserve"> single-cell multi-carrier </w:t>
      </w:r>
      <w:r w:rsidR="00007F41">
        <w:rPr>
          <w:rFonts w:hint="eastAsia"/>
          <w:b/>
          <w:bCs/>
        </w:rPr>
        <w:t xml:space="preserve">operation </w:t>
      </w:r>
      <w:r w:rsidRPr="00AB2E67">
        <w:rPr>
          <w:b/>
          <w:bCs/>
        </w:rPr>
        <w:t>for PDSCH</w:t>
      </w:r>
      <w:bookmarkStart w:id="7" w:name="_Hlk220593437"/>
      <w:r w:rsidR="00FA277E">
        <w:rPr>
          <w:rFonts w:hint="eastAsia"/>
          <w:b/>
          <w:bCs/>
        </w:rPr>
        <w:t xml:space="preserve"> in 6GR</w:t>
      </w:r>
      <w:bookmarkEnd w:id="7"/>
      <w:r w:rsidRPr="00AB2E67">
        <w:rPr>
          <w:b/>
          <w:bCs/>
        </w:rPr>
        <w:t>.</w:t>
      </w:r>
    </w:p>
    <w:p w14:paraId="0A4CA55A" w14:textId="77777777" w:rsidR="00CB5818" w:rsidRPr="00DD1DA7" w:rsidRDefault="00CB5818" w:rsidP="00E70A73"/>
    <w:p w14:paraId="1F6F666C" w14:textId="2900BD74" w:rsidR="00CB484E" w:rsidRPr="00D83BE5" w:rsidRDefault="00CB5818" w:rsidP="00E70A73">
      <w:pPr>
        <w:rPr>
          <w:b/>
          <w:bCs/>
        </w:rPr>
      </w:pPr>
      <w:r w:rsidRPr="00CB5818">
        <w:rPr>
          <w:b/>
          <w:bCs/>
          <w:u w:val="single"/>
        </w:rPr>
        <w:t>Time/frequency resource allocation for PDSCH</w:t>
      </w:r>
      <w:r w:rsidR="00CB484E" w:rsidRPr="00D83BE5">
        <w:rPr>
          <w:rFonts w:hint="eastAsia"/>
          <w:b/>
          <w:bCs/>
        </w:rPr>
        <w:t>:</w:t>
      </w:r>
    </w:p>
    <w:p w14:paraId="06FFAF79" w14:textId="1F5095FF" w:rsidR="00C9511F" w:rsidRPr="0070110D" w:rsidRDefault="00C9511F" w:rsidP="00E70A73">
      <w:pPr>
        <w:rPr>
          <w:b/>
          <w:bCs/>
        </w:rPr>
      </w:pPr>
      <w:r w:rsidRPr="0070110D">
        <w:rPr>
          <w:b/>
          <w:bCs/>
        </w:rPr>
        <w:t xml:space="preserve">Proposal </w:t>
      </w:r>
      <w:r w:rsidR="00DD1DA7">
        <w:rPr>
          <w:rFonts w:hint="eastAsia"/>
          <w:b/>
          <w:bCs/>
        </w:rPr>
        <w:t>1</w:t>
      </w:r>
      <w:r w:rsidR="00A05C75">
        <w:rPr>
          <w:rFonts w:hint="eastAsia"/>
          <w:b/>
          <w:bCs/>
        </w:rPr>
        <w:t>3</w:t>
      </w:r>
      <w:r w:rsidRPr="0070110D">
        <w:rPr>
          <w:b/>
          <w:bCs/>
        </w:rPr>
        <w:t xml:space="preserve">: Reuse NR TDRA scheme for </w:t>
      </w:r>
      <w:r w:rsidR="0020249B">
        <w:rPr>
          <w:rFonts w:hint="eastAsia"/>
          <w:b/>
          <w:bCs/>
        </w:rPr>
        <w:t xml:space="preserve">PDSCH in </w:t>
      </w:r>
      <w:r w:rsidRPr="0070110D">
        <w:rPr>
          <w:b/>
          <w:bCs/>
        </w:rPr>
        <w:t>6GR.</w:t>
      </w:r>
    </w:p>
    <w:p w14:paraId="78376D82" w14:textId="4D7D8795" w:rsidR="00C9511F" w:rsidRPr="0070110D" w:rsidRDefault="00C9511F" w:rsidP="00E70A73">
      <w:pPr>
        <w:rPr>
          <w:b/>
          <w:bCs/>
        </w:rPr>
      </w:pPr>
      <w:r w:rsidRPr="0070110D">
        <w:rPr>
          <w:b/>
          <w:bCs/>
        </w:rPr>
        <w:t xml:space="preserve">Proposal </w:t>
      </w:r>
      <w:r w:rsidR="00DD1DA7">
        <w:rPr>
          <w:rFonts w:hint="eastAsia"/>
          <w:b/>
          <w:bCs/>
        </w:rPr>
        <w:t>1</w:t>
      </w:r>
      <w:r w:rsidR="00A05C75">
        <w:rPr>
          <w:rFonts w:hint="eastAsia"/>
          <w:b/>
          <w:bCs/>
        </w:rPr>
        <w:t>4</w:t>
      </w:r>
      <w:r w:rsidRPr="0070110D">
        <w:rPr>
          <w:b/>
          <w:bCs/>
        </w:rPr>
        <w:t xml:space="preserve">: Reuse NR </w:t>
      </w:r>
      <w:r w:rsidR="00D32D97">
        <w:rPr>
          <w:rFonts w:hint="eastAsia"/>
          <w:b/>
          <w:bCs/>
        </w:rPr>
        <w:t>F</w:t>
      </w:r>
      <w:r w:rsidRPr="0070110D">
        <w:rPr>
          <w:b/>
          <w:bCs/>
        </w:rPr>
        <w:t xml:space="preserve">DRA scheme for </w:t>
      </w:r>
      <w:r w:rsidR="00746B1A">
        <w:rPr>
          <w:rFonts w:hint="eastAsia"/>
          <w:b/>
          <w:bCs/>
        </w:rPr>
        <w:t>PDSCH</w:t>
      </w:r>
      <w:r w:rsidR="00ED1350">
        <w:rPr>
          <w:rFonts w:hint="eastAsia"/>
          <w:b/>
          <w:bCs/>
        </w:rPr>
        <w:t xml:space="preserve"> in 6GR</w:t>
      </w:r>
      <w:r w:rsidRPr="0070110D">
        <w:rPr>
          <w:b/>
          <w:bCs/>
        </w:rPr>
        <w:t>.</w:t>
      </w:r>
    </w:p>
    <w:p w14:paraId="672CF41B" w14:textId="20096351" w:rsidR="00C9511F" w:rsidRPr="0070110D" w:rsidRDefault="00C9511F" w:rsidP="00E70A73">
      <w:pPr>
        <w:rPr>
          <w:b/>
          <w:bCs/>
        </w:rPr>
      </w:pPr>
      <w:r w:rsidRPr="0070110D">
        <w:rPr>
          <w:b/>
          <w:bCs/>
        </w:rPr>
        <w:t xml:space="preserve">Proposal </w:t>
      </w:r>
      <w:r w:rsidR="00DD1DA7">
        <w:rPr>
          <w:rFonts w:hint="eastAsia"/>
          <w:b/>
          <w:bCs/>
        </w:rPr>
        <w:t>1</w:t>
      </w:r>
      <w:r w:rsidR="00A05C75">
        <w:rPr>
          <w:rFonts w:hint="eastAsia"/>
          <w:b/>
          <w:bCs/>
        </w:rPr>
        <w:t>5</w:t>
      </w:r>
      <w:r w:rsidRPr="0070110D">
        <w:rPr>
          <w:b/>
          <w:bCs/>
        </w:rPr>
        <w:t xml:space="preserve">: </w:t>
      </w:r>
      <w:r w:rsidR="006E5DE8" w:rsidRPr="006E5DE8">
        <w:rPr>
          <w:b/>
          <w:bCs/>
        </w:rPr>
        <w:t>Study resource allocation for PDSCH with SCMC in 6GR.</w:t>
      </w:r>
    </w:p>
    <w:p w14:paraId="0A5C5440" w14:textId="77777777" w:rsidR="00255557" w:rsidRPr="006E2BED" w:rsidRDefault="00255557" w:rsidP="00E70A73"/>
    <w:p w14:paraId="2EC8C87E" w14:textId="13D8B0D1" w:rsidR="00CB5818" w:rsidRPr="00CB5818" w:rsidRDefault="00CB5818" w:rsidP="00E70A73">
      <w:pPr>
        <w:rPr>
          <w:b/>
          <w:bCs/>
          <w:u w:val="single"/>
        </w:rPr>
      </w:pPr>
      <w:r w:rsidRPr="00CB5818">
        <w:rPr>
          <w:b/>
          <w:bCs/>
          <w:u w:val="single"/>
        </w:rPr>
        <w:t>Basic DMRS design</w:t>
      </w:r>
      <w:r>
        <w:rPr>
          <w:rFonts w:hint="eastAsia"/>
          <w:b/>
          <w:bCs/>
          <w:u w:val="single"/>
        </w:rPr>
        <w:t>:</w:t>
      </w:r>
    </w:p>
    <w:p w14:paraId="557233BB" w14:textId="122BCC60" w:rsidR="00E57891" w:rsidRPr="008115B0" w:rsidRDefault="00E57891" w:rsidP="00E70A73">
      <w:pPr>
        <w:rPr>
          <w:b/>
          <w:bCs/>
        </w:rPr>
      </w:pPr>
      <w:r w:rsidRPr="008115B0">
        <w:rPr>
          <w:b/>
          <w:bCs/>
        </w:rPr>
        <w:t xml:space="preserve">Proposal </w:t>
      </w:r>
      <w:r w:rsidR="00DD1DA7">
        <w:rPr>
          <w:rFonts w:hint="eastAsia"/>
          <w:b/>
          <w:bCs/>
        </w:rPr>
        <w:t>1</w:t>
      </w:r>
      <w:r w:rsidR="003B0F55">
        <w:rPr>
          <w:rFonts w:hint="eastAsia"/>
          <w:b/>
          <w:bCs/>
        </w:rPr>
        <w:t>6</w:t>
      </w:r>
      <w:r w:rsidRPr="008115B0">
        <w:rPr>
          <w:b/>
          <w:bCs/>
        </w:rPr>
        <w:t>: 6GR DMRS is extended from NR DMRS to support up to 64 ports.</w:t>
      </w:r>
    </w:p>
    <w:p w14:paraId="143B8438" w14:textId="3CDCC02C" w:rsidR="00E57891" w:rsidRPr="008115B0" w:rsidRDefault="004F2B93" w:rsidP="00E70A73">
      <w:pPr>
        <w:rPr>
          <w:b/>
          <w:bCs/>
        </w:rPr>
      </w:pPr>
      <w:r w:rsidRPr="008115B0">
        <w:rPr>
          <w:b/>
          <w:bCs/>
        </w:rPr>
        <w:t xml:space="preserve">Proposal </w:t>
      </w:r>
      <w:r>
        <w:rPr>
          <w:rFonts w:hint="eastAsia"/>
          <w:b/>
          <w:bCs/>
        </w:rPr>
        <w:t>17</w:t>
      </w:r>
      <w:r w:rsidRPr="008115B0">
        <w:rPr>
          <w:b/>
          <w:bCs/>
        </w:rPr>
        <w:t xml:space="preserve">: Support DMRS bundling for multi-slot-based </w:t>
      </w:r>
      <w:r>
        <w:rPr>
          <w:rFonts w:hint="eastAsia"/>
          <w:b/>
          <w:bCs/>
        </w:rPr>
        <w:t xml:space="preserve">PDSCH </w:t>
      </w:r>
      <w:r w:rsidRPr="008115B0">
        <w:rPr>
          <w:b/>
          <w:bCs/>
        </w:rPr>
        <w:t>transmission</w:t>
      </w:r>
      <w:r>
        <w:rPr>
          <w:rFonts w:hint="eastAsia"/>
          <w:b/>
          <w:bCs/>
        </w:rPr>
        <w:t xml:space="preserve"> in 6GR</w:t>
      </w:r>
      <w:r w:rsidRPr="008115B0">
        <w:rPr>
          <w:b/>
          <w:bCs/>
        </w:rPr>
        <w:t>.</w:t>
      </w:r>
    </w:p>
    <w:p w14:paraId="5667A17F" w14:textId="6F366BBF" w:rsidR="00CB5818" w:rsidRDefault="00E57891" w:rsidP="00E70A73">
      <w:r w:rsidRPr="008115B0">
        <w:rPr>
          <w:b/>
          <w:bCs/>
        </w:rPr>
        <w:t xml:space="preserve">Proposal </w:t>
      </w:r>
      <w:r w:rsidR="00DD1DA7">
        <w:rPr>
          <w:rFonts w:hint="eastAsia"/>
          <w:b/>
          <w:bCs/>
        </w:rPr>
        <w:t>18</w:t>
      </w:r>
      <w:r w:rsidRPr="008115B0">
        <w:rPr>
          <w:b/>
          <w:bCs/>
        </w:rPr>
        <w:t>: Study advanced MU-MIMO receiver for up to 64 MU layers</w:t>
      </w:r>
      <w:r w:rsidR="002012B3">
        <w:rPr>
          <w:rFonts w:hint="eastAsia"/>
          <w:b/>
          <w:bCs/>
        </w:rPr>
        <w:t xml:space="preserve"> in 6GR</w:t>
      </w:r>
      <w:r w:rsidRPr="008115B0">
        <w:rPr>
          <w:b/>
          <w:bCs/>
        </w:rPr>
        <w:t>.</w:t>
      </w:r>
    </w:p>
    <w:p w14:paraId="3CD8E38C" w14:textId="77777777" w:rsidR="00255557" w:rsidRPr="00CB5818" w:rsidRDefault="00255557" w:rsidP="00E70A73"/>
    <w:p w14:paraId="49D6CFA9" w14:textId="77777777" w:rsidR="00CB484E" w:rsidRPr="00954883" w:rsidRDefault="00CB484E" w:rsidP="00E70A73">
      <w:pPr>
        <w:rPr>
          <w:b/>
          <w:bCs/>
        </w:rPr>
      </w:pPr>
      <w:r w:rsidRPr="00954883">
        <w:rPr>
          <w:b/>
          <w:bCs/>
          <w:u w:val="single"/>
        </w:rPr>
        <w:t>CSI-RS design and procedure for AI/ML-based CSI acquisition</w:t>
      </w:r>
      <w:r>
        <w:rPr>
          <w:rFonts w:hint="eastAsia"/>
          <w:b/>
          <w:bCs/>
        </w:rPr>
        <w:t>:</w:t>
      </w:r>
    </w:p>
    <w:p w14:paraId="50E96E52" w14:textId="3491319C" w:rsidR="00CB484E" w:rsidRPr="00B24BB6" w:rsidRDefault="00CB484E" w:rsidP="00E70A73">
      <w:pPr>
        <w:rPr>
          <w:b/>
          <w:bCs/>
        </w:rPr>
      </w:pPr>
      <w:r w:rsidRPr="00B24BB6">
        <w:rPr>
          <w:b/>
          <w:bCs/>
        </w:rPr>
        <w:t xml:space="preserve">Proposal </w:t>
      </w:r>
      <w:r w:rsidR="00DD1DA7">
        <w:rPr>
          <w:rFonts w:hint="eastAsia"/>
          <w:b/>
          <w:bCs/>
        </w:rPr>
        <w:t>19</w:t>
      </w:r>
      <w:r w:rsidRPr="00B24BB6">
        <w:rPr>
          <w:b/>
          <w:bCs/>
        </w:rPr>
        <w:t xml:space="preserve">: Study </w:t>
      </w:r>
      <w:r>
        <w:rPr>
          <w:b/>
          <w:bCs/>
        </w:rPr>
        <w:t>the introduction of low-density downlink DMRS for AI/ML-based channel estimation.</w:t>
      </w:r>
    </w:p>
    <w:p w14:paraId="263A1728" w14:textId="1F1D94D9" w:rsidR="00CB484E" w:rsidRPr="00B24BB6" w:rsidRDefault="00CB484E" w:rsidP="00E70A73">
      <w:pPr>
        <w:rPr>
          <w:b/>
          <w:bCs/>
        </w:rPr>
      </w:pPr>
      <w:r w:rsidRPr="00B24BB6">
        <w:rPr>
          <w:b/>
          <w:bCs/>
        </w:rPr>
        <w:t xml:space="preserve">Proposal </w:t>
      </w:r>
      <w:r w:rsidR="00DD1DA7">
        <w:rPr>
          <w:rFonts w:hint="eastAsia"/>
          <w:b/>
          <w:bCs/>
        </w:rPr>
        <w:t>20</w:t>
      </w:r>
      <w:r w:rsidRPr="00B24BB6">
        <w:rPr>
          <w:b/>
          <w:bCs/>
        </w:rPr>
        <w:t>: Study</w:t>
      </w:r>
      <w:r>
        <w:rPr>
          <w:b/>
          <w:bCs/>
        </w:rPr>
        <w:t xml:space="preserve"> the introduction of sparse orthogonal DMRS in the frequency and/or time domain (Sub-use case A) for low-overhead DMRS with AI receiver.</w:t>
      </w:r>
    </w:p>
    <w:p w14:paraId="1D972B6E" w14:textId="62E88222" w:rsidR="00CB484E" w:rsidRPr="001B4A26" w:rsidRDefault="00CB484E" w:rsidP="00E70A73">
      <w:pPr>
        <w:rPr>
          <w:b/>
          <w:bCs/>
        </w:rPr>
      </w:pPr>
      <w:r>
        <w:rPr>
          <w:b/>
          <w:bCs/>
        </w:rPr>
        <w:t>Observation</w:t>
      </w:r>
      <w:r w:rsidRPr="00B24BB6">
        <w:rPr>
          <w:b/>
          <w:bCs/>
        </w:rPr>
        <w:t xml:space="preserve"> </w:t>
      </w:r>
      <w:r w:rsidR="00DD1DA7">
        <w:rPr>
          <w:rFonts w:hint="eastAsia"/>
          <w:b/>
          <w:bCs/>
        </w:rPr>
        <w:t>1</w:t>
      </w:r>
      <w:r w:rsidRPr="00B24BB6">
        <w:rPr>
          <w:b/>
          <w:bCs/>
        </w:rPr>
        <w:t>:</w:t>
      </w:r>
      <w:r>
        <w:rPr>
          <w:b/>
          <w:bCs/>
        </w:rPr>
        <w:t xml:space="preserve"> For superimposed pilot and DMRS-free transmission (Sub-use case B, C), further studies are required to verify feasibility, compatibility with non-AI capable systems, and robustness against noise and other impairments in the context of 6GR.</w:t>
      </w:r>
    </w:p>
    <w:p w14:paraId="4B69E2E4" w14:textId="60EFB338" w:rsidR="00CB484E" w:rsidRPr="00262216" w:rsidRDefault="00CB484E" w:rsidP="00E70A73">
      <w:pPr>
        <w:rPr>
          <w:b/>
          <w:bCs/>
        </w:rPr>
      </w:pPr>
      <w:r w:rsidRPr="00B24BB6">
        <w:rPr>
          <w:b/>
          <w:bCs/>
        </w:rPr>
        <w:t xml:space="preserve">Proposal </w:t>
      </w:r>
      <w:r w:rsidR="00DD1DA7">
        <w:rPr>
          <w:rFonts w:hint="eastAsia"/>
          <w:b/>
          <w:bCs/>
        </w:rPr>
        <w:t>21</w:t>
      </w:r>
      <w:r w:rsidRPr="00B24BB6">
        <w:rPr>
          <w:b/>
          <w:bCs/>
        </w:rPr>
        <w:t>: Study</w:t>
      </w:r>
      <w:r>
        <w:rPr>
          <w:b/>
          <w:bCs/>
        </w:rPr>
        <w:t xml:space="preserve"> the DMRS pattern design to enable DMRS density reduction when low-overhead downlink DMRS is supported.</w:t>
      </w:r>
    </w:p>
    <w:p w14:paraId="38322D0E" w14:textId="59F0AB9A" w:rsidR="00CB484E" w:rsidRPr="005F1362" w:rsidRDefault="00CB484E" w:rsidP="00E70A73">
      <w:pPr>
        <w:rPr>
          <w:b/>
          <w:bCs/>
        </w:rPr>
      </w:pPr>
      <w:r w:rsidRPr="00B24BB6">
        <w:rPr>
          <w:b/>
          <w:bCs/>
        </w:rPr>
        <w:t xml:space="preserve">Proposal </w:t>
      </w:r>
      <w:r w:rsidR="00DD1DA7">
        <w:rPr>
          <w:rFonts w:hint="eastAsia"/>
          <w:b/>
          <w:bCs/>
        </w:rPr>
        <w:t>22:</w:t>
      </w:r>
      <w:r w:rsidRPr="00B24BB6">
        <w:rPr>
          <w:b/>
          <w:bCs/>
        </w:rPr>
        <w:t xml:space="preserve"> Study</w:t>
      </w:r>
      <w:r>
        <w:rPr>
          <w:b/>
          <w:bCs/>
        </w:rPr>
        <w:t xml:space="preserve"> the AI/ML model output of UE-side AI receivers for the specification of life cycle </w:t>
      </w:r>
      <w:r>
        <w:rPr>
          <w:b/>
          <w:bCs/>
        </w:rPr>
        <w:lastRenderedPageBreak/>
        <w:t>management procedures.</w:t>
      </w:r>
    </w:p>
    <w:p w14:paraId="77F73EF6" w14:textId="3C8FD315" w:rsidR="00CB484E" w:rsidRDefault="00CB484E" w:rsidP="00E70A73">
      <w:pPr>
        <w:rPr>
          <w:b/>
          <w:bCs/>
        </w:rPr>
      </w:pPr>
      <w:r w:rsidRPr="00B24BB6">
        <w:rPr>
          <w:b/>
          <w:bCs/>
        </w:rPr>
        <w:t xml:space="preserve">Proposal </w:t>
      </w:r>
      <w:r w:rsidR="00DD1DA7">
        <w:rPr>
          <w:rFonts w:hint="eastAsia"/>
          <w:b/>
          <w:bCs/>
        </w:rPr>
        <w:t>23:</w:t>
      </w:r>
      <w:r w:rsidRPr="00B24BB6">
        <w:rPr>
          <w:b/>
          <w:bCs/>
        </w:rPr>
        <w:t xml:space="preserve"> Study</w:t>
      </w:r>
      <w:r>
        <w:rPr>
          <w:b/>
          <w:bCs/>
        </w:rPr>
        <w:t xml:space="preserve"> the specification impact on LCM procedures for UE-side AI receivers with sparse orthogonal downlink DMRS.</w:t>
      </w:r>
    </w:p>
    <w:p w14:paraId="5CCEDA19" w14:textId="77777777" w:rsidR="00CB484E" w:rsidRPr="00CB484E" w:rsidRDefault="00CB484E" w:rsidP="00E70A73"/>
    <w:p w14:paraId="67B7A526" w14:textId="3EA9F00C" w:rsidR="009161F9" w:rsidRDefault="009161F9" w:rsidP="00E70A73">
      <w:pPr>
        <w:pStyle w:val="1"/>
        <w:numPr>
          <w:ilvl w:val="0"/>
          <w:numId w:val="0"/>
        </w:numPr>
        <w:ind w:left="425" w:hanging="425"/>
      </w:pPr>
      <w:r>
        <w:rPr>
          <w:rFonts w:hint="eastAsia"/>
        </w:rPr>
        <w:t>References</w:t>
      </w:r>
    </w:p>
    <w:p w14:paraId="2A37EA20" w14:textId="77777777" w:rsidR="005405C6" w:rsidRPr="00A079FF" w:rsidRDefault="005405C6" w:rsidP="00E70A73">
      <w:pPr>
        <w:pStyle w:val="a6"/>
        <w:numPr>
          <w:ilvl w:val="0"/>
          <w:numId w:val="5"/>
        </w:numPr>
        <w:ind w:left="426"/>
      </w:pPr>
      <w:bookmarkStart w:id="8" w:name="_Ref220522767"/>
      <w:r w:rsidRPr="00A079FF">
        <w:t>RP-252912, Revised SID: Study on 6G Radio, NTT DOCOMO, CMCC, AT&amp;T, Vodafone, RAN#</w:t>
      </w:r>
      <w:r w:rsidRPr="00A079FF">
        <w:rPr>
          <w:rFonts w:hint="eastAsia"/>
        </w:rPr>
        <w:t>109</w:t>
      </w:r>
      <w:r w:rsidRPr="00A079FF">
        <w:t xml:space="preserve">, </w:t>
      </w:r>
      <w:r w:rsidRPr="00A079FF">
        <w:rPr>
          <w:rFonts w:hint="eastAsia"/>
        </w:rPr>
        <w:t>Sept. 15</w:t>
      </w:r>
      <w:r w:rsidRPr="00A079FF">
        <w:t>–</w:t>
      </w:r>
      <w:r w:rsidRPr="00A079FF">
        <w:rPr>
          <w:rFonts w:hint="eastAsia"/>
        </w:rPr>
        <w:t>18, 2025.</w:t>
      </w:r>
      <w:bookmarkEnd w:id="8"/>
    </w:p>
    <w:p w14:paraId="2F4E6688" w14:textId="66EF0674" w:rsidR="002938AA" w:rsidRPr="00F3701F" w:rsidRDefault="001D4D97" w:rsidP="00E70A73">
      <w:pPr>
        <w:pStyle w:val="a6"/>
        <w:numPr>
          <w:ilvl w:val="0"/>
          <w:numId w:val="5"/>
        </w:numPr>
        <w:ind w:left="426"/>
      </w:pPr>
      <w:bookmarkStart w:id="9" w:name="_Ref220522776"/>
      <w:r w:rsidRPr="001D4D97">
        <w:t>R1-2601010</w:t>
      </w:r>
      <w:r w:rsidR="002938AA" w:rsidRPr="00F3701F">
        <w:rPr>
          <w:rFonts w:hint="eastAsia"/>
        </w:rPr>
        <w:t xml:space="preserve">, </w:t>
      </w:r>
      <w:r w:rsidR="00F3701F" w:rsidRPr="00F3701F">
        <w:rPr>
          <w:rFonts w:hint="eastAsia"/>
        </w:rPr>
        <w:t>Discussion</w:t>
      </w:r>
      <w:r w:rsidR="00FE53D2" w:rsidRPr="00F3701F">
        <w:t xml:space="preserve"> on downlink-based CSI acquisition for 6GR</w:t>
      </w:r>
      <w:r w:rsidR="00FE73DC" w:rsidRPr="00F3701F">
        <w:rPr>
          <w:rFonts w:hint="eastAsia"/>
        </w:rPr>
        <w:t xml:space="preserve">, ETRI, RAN1#124, </w:t>
      </w:r>
      <w:r w:rsidR="00FE53D2" w:rsidRPr="00F3701F">
        <w:rPr>
          <w:rFonts w:hint="eastAsia"/>
        </w:rPr>
        <w:t>Feb. 9</w:t>
      </w:r>
      <w:r w:rsidR="008A6D2C" w:rsidRPr="00F3701F">
        <w:rPr>
          <w:strike/>
        </w:rPr>
        <w:t>–</w:t>
      </w:r>
      <w:r w:rsidR="00FE53D2" w:rsidRPr="00F3701F">
        <w:rPr>
          <w:rFonts w:hint="eastAsia"/>
        </w:rPr>
        <w:t>13, 2026</w:t>
      </w:r>
      <w:r w:rsidR="00FE73DC" w:rsidRPr="00F3701F">
        <w:rPr>
          <w:rFonts w:hint="eastAsia"/>
        </w:rPr>
        <w:t>.</w:t>
      </w:r>
      <w:bookmarkEnd w:id="9"/>
    </w:p>
    <w:p w14:paraId="3E1D9CE6" w14:textId="75C90451" w:rsidR="005405C6" w:rsidRDefault="00F3701F" w:rsidP="00E70A73">
      <w:pPr>
        <w:pStyle w:val="a6"/>
        <w:numPr>
          <w:ilvl w:val="0"/>
          <w:numId w:val="5"/>
        </w:numPr>
        <w:ind w:left="426"/>
      </w:pPr>
      <w:bookmarkStart w:id="10" w:name="_Ref220521335"/>
      <w:r>
        <w:rPr>
          <w:rFonts w:hint="eastAsia"/>
        </w:rPr>
        <w:t>R1-2600406, Draft Agenda, RAN1 Chair, RAN1#124, Feb. 9</w:t>
      </w:r>
      <w:r w:rsidRPr="00C20DA7">
        <w:rPr>
          <w:strike/>
        </w:rPr>
        <w:t>–</w:t>
      </w:r>
      <w:r>
        <w:rPr>
          <w:rFonts w:hint="eastAsia"/>
        </w:rPr>
        <w:t>13, 2026.</w:t>
      </w:r>
      <w:bookmarkEnd w:id="10"/>
    </w:p>
    <w:p w14:paraId="78D6122B" w14:textId="4360F8BF" w:rsidR="00F3701F" w:rsidRDefault="00F3701F" w:rsidP="00E70A73">
      <w:pPr>
        <w:pStyle w:val="a6"/>
        <w:numPr>
          <w:ilvl w:val="0"/>
          <w:numId w:val="5"/>
        </w:numPr>
        <w:ind w:left="426"/>
      </w:pPr>
      <w:bookmarkStart w:id="11" w:name="_Ref220522799"/>
      <w:r w:rsidRPr="00A079FF">
        <w:t>Chair notes RAN1#123 - eom3.</w:t>
      </w:r>
      <w:bookmarkEnd w:id="11"/>
    </w:p>
    <w:p w14:paraId="640B2C99" w14:textId="77777777" w:rsidR="00F3701F" w:rsidRPr="00A079FF" w:rsidRDefault="00F3701F" w:rsidP="00E70A73">
      <w:pPr>
        <w:ind w:left="-14"/>
      </w:pPr>
    </w:p>
    <w:sectPr w:rsidR="00F3701F" w:rsidRPr="00A079FF" w:rsidSect="00F96903">
      <w:footerReference w:type="default" r:id="rId9"/>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056C" w14:textId="77777777" w:rsidR="001C0E10" w:rsidRDefault="001C0E10" w:rsidP="00CD51A3">
      <w:pPr>
        <w:spacing w:after="0"/>
      </w:pPr>
      <w:r>
        <w:separator/>
      </w:r>
    </w:p>
  </w:endnote>
  <w:endnote w:type="continuationSeparator" w:id="0">
    <w:p w14:paraId="28DF39FE" w14:textId="77777777" w:rsidR="001C0E10" w:rsidRDefault="001C0E10"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F1BF" w14:textId="77777777" w:rsidR="001C0E10" w:rsidRDefault="001C0E10" w:rsidP="00CD51A3">
      <w:pPr>
        <w:spacing w:after="0"/>
      </w:pPr>
      <w:r>
        <w:separator/>
      </w:r>
    </w:p>
  </w:footnote>
  <w:footnote w:type="continuationSeparator" w:id="0">
    <w:p w14:paraId="33B9C88A" w14:textId="77777777" w:rsidR="001C0E10" w:rsidRDefault="001C0E10"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6E05409"/>
    <w:multiLevelType w:val="hybridMultilevel"/>
    <w:tmpl w:val="AFBA1D04"/>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9BA37B4"/>
    <w:multiLevelType w:val="hybridMultilevel"/>
    <w:tmpl w:val="452870E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F7E52E7"/>
    <w:multiLevelType w:val="hybridMultilevel"/>
    <w:tmpl w:val="78A246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13647B3"/>
    <w:multiLevelType w:val="hybridMultilevel"/>
    <w:tmpl w:val="CBA0346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C380EC9"/>
    <w:multiLevelType w:val="hybridMultilevel"/>
    <w:tmpl w:val="D3FE722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CD47998"/>
    <w:multiLevelType w:val="hybridMultilevel"/>
    <w:tmpl w:val="FB429C9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3CD6B24"/>
    <w:multiLevelType w:val="multilevel"/>
    <w:tmpl w:val="0CE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40448F"/>
    <w:multiLevelType w:val="hybridMultilevel"/>
    <w:tmpl w:val="C2363C4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1403098"/>
    <w:multiLevelType w:val="hybridMultilevel"/>
    <w:tmpl w:val="5D249C2E"/>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2E52F00"/>
    <w:multiLevelType w:val="multilevel"/>
    <w:tmpl w:val="9CE0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9DC3873"/>
    <w:multiLevelType w:val="hybridMultilevel"/>
    <w:tmpl w:val="8A1A6E6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552962374">
    <w:abstractNumId w:val="18"/>
  </w:num>
  <w:num w:numId="2" w16cid:durableId="1103460251">
    <w:abstractNumId w:val="5"/>
  </w:num>
  <w:num w:numId="3" w16cid:durableId="16930984">
    <w:abstractNumId w:val="17"/>
  </w:num>
  <w:num w:numId="4" w16cid:durableId="1568491999">
    <w:abstractNumId w:val="0"/>
  </w:num>
  <w:num w:numId="5" w16cid:durableId="780998595">
    <w:abstractNumId w:val="10"/>
  </w:num>
  <w:num w:numId="6" w16cid:durableId="76948640">
    <w:abstractNumId w:val="9"/>
  </w:num>
  <w:num w:numId="7" w16cid:durableId="87580742">
    <w:abstractNumId w:val="11"/>
  </w:num>
  <w:num w:numId="8" w16cid:durableId="1702701215">
    <w:abstractNumId w:val="15"/>
  </w:num>
  <w:num w:numId="9" w16cid:durableId="626354286">
    <w:abstractNumId w:val="2"/>
  </w:num>
  <w:num w:numId="10" w16cid:durableId="1247494385">
    <w:abstractNumId w:val="3"/>
  </w:num>
  <w:num w:numId="11" w16cid:durableId="765034256">
    <w:abstractNumId w:val="13"/>
  </w:num>
  <w:num w:numId="12" w16cid:durableId="59376368">
    <w:abstractNumId w:val="12"/>
  </w:num>
  <w:num w:numId="13" w16cid:durableId="1167595074">
    <w:abstractNumId w:val="1"/>
  </w:num>
  <w:num w:numId="14" w16cid:durableId="1765615766">
    <w:abstractNumId w:val="6"/>
  </w:num>
  <w:num w:numId="15" w16cid:durableId="818230930">
    <w:abstractNumId w:val="8"/>
  </w:num>
  <w:num w:numId="16" w16cid:durableId="2026202852">
    <w:abstractNumId w:val="16"/>
  </w:num>
  <w:num w:numId="17" w16cid:durableId="1372723939">
    <w:abstractNumId w:val="7"/>
  </w:num>
  <w:num w:numId="18" w16cid:durableId="2128161711">
    <w:abstractNumId w:val="4"/>
  </w:num>
  <w:num w:numId="19" w16cid:durableId="1280185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7817"/>
    <w:rsid w:val="00007BE8"/>
    <w:rsid w:val="00007F41"/>
    <w:rsid w:val="00007F5A"/>
    <w:rsid w:val="00015391"/>
    <w:rsid w:val="000272C8"/>
    <w:rsid w:val="000329D4"/>
    <w:rsid w:val="00034A60"/>
    <w:rsid w:val="00053217"/>
    <w:rsid w:val="00054047"/>
    <w:rsid w:val="00074E18"/>
    <w:rsid w:val="00084079"/>
    <w:rsid w:val="000861A7"/>
    <w:rsid w:val="00097792"/>
    <w:rsid w:val="000B0871"/>
    <w:rsid w:val="000B58C7"/>
    <w:rsid w:val="000D66F8"/>
    <w:rsid w:val="000E50E0"/>
    <w:rsid w:val="000E6BCF"/>
    <w:rsid w:val="000F621D"/>
    <w:rsid w:val="001076A9"/>
    <w:rsid w:val="001413EC"/>
    <w:rsid w:val="001530AA"/>
    <w:rsid w:val="00185D97"/>
    <w:rsid w:val="00194403"/>
    <w:rsid w:val="001A708B"/>
    <w:rsid w:val="001B428B"/>
    <w:rsid w:val="001B44EE"/>
    <w:rsid w:val="001C0E10"/>
    <w:rsid w:val="001C34CF"/>
    <w:rsid w:val="001D00AC"/>
    <w:rsid w:val="001D2D66"/>
    <w:rsid w:val="001D4D97"/>
    <w:rsid w:val="001E46AF"/>
    <w:rsid w:val="001F042D"/>
    <w:rsid w:val="001F6435"/>
    <w:rsid w:val="002012B3"/>
    <w:rsid w:val="0020249B"/>
    <w:rsid w:val="00203AF8"/>
    <w:rsid w:val="002214C9"/>
    <w:rsid w:val="002249E3"/>
    <w:rsid w:val="00226999"/>
    <w:rsid w:val="00236535"/>
    <w:rsid w:val="00242C62"/>
    <w:rsid w:val="002453CB"/>
    <w:rsid w:val="00255557"/>
    <w:rsid w:val="00256579"/>
    <w:rsid w:val="002742E8"/>
    <w:rsid w:val="00282CEE"/>
    <w:rsid w:val="00292C7E"/>
    <w:rsid w:val="002938AA"/>
    <w:rsid w:val="002A6B04"/>
    <w:rsid w:val="002B0E06"/>
    <w:rsid w:val="002B7E99"/>
    <w:rsid w:val="002D4A1C"/>
    <w:rsid w:val="002D732B"/>
    <w:rsid w:val="002E3B65"/>
    <w:rsid w:val="002E3D9B"/>
    <w:rsid w:val="002E677C"/>
    <w:rsid w:val="002F4E3D"/>
    <w:rsid w:val="002F7DC9"/>
    <w:rsid w:val="00315883"/>
    <w:rsid w:val="00321C68"/>
    <w:rsid w:val="00321D06"/>
    <w:rsid w:val="003241D1"/>
    <w:rsid w:val="00324D90"/>
    <w:rsid w:val="00326430"/>
    <w:rsid w:val="00331FF5"/>
    <w:rsid w:val="00370333"/>
    <w:rsid w:val="00372F58"/>
    <w:rsid w:val="00376635"/>
    <w:rsid w:val="00382B3A"/>
    <w:rsid w:val="003874E6"/>
    <w:rsid w:val="003915C2"/>
    <w:rsid w:val="00391CF8"/>
    <w:rsid w:val="00397812"/>
    <w:rsid w:val="003A4CE7"/>
    <w:rsid w:val="003B0F55"/>
    <w:rsid w:val="003C1CA2"/>
    <w:rsid w:val="003E69CA"/>
    <w:rsid w:val="003F7280"/>
    <w:rsid w:val="00410947"/>
    <w:rsid w:val="0041358E"/>
    <w:rsid w:val="00416C1D"/>
    <w:rsid w:val="00430403"/>
    <w:rsid w:val="004335B4"/>
    <w:rsid w:val="00433D29"/>
    <w:rsid w:val="0045506D"/>
    <w:rsid w:val="00467585"/>
    <w:rsid w:val="00487F6D"/>
    <w:rsid w:val="00493D1C"/>
    <w:rsid w:val="004958BF"/>
    <w:rsid w:val="004A0715"/>
    <w:rsid w:val="004A7153"/>
    <w:rsid w:val="004B58AE"/>
    <w:rsid w:val="004B5C10"/>
    <w:rsid w:val="004B5E74"/>
    <w:rsid w:val="004D4731"/>
    <w:rsid w:val="004F2B93"/>
    <w:rsid w:val="004F36B5"/>
    <w:rsid w:val="00502D44"/>
    <w:rsid w:val="00510DF6"/>
    <w:rsid w:val="00513973"/>
    <w:rsid w:val="00517D88"/>
    <w:rsid w:val="00527C11"/>
    <w:rsid w:val="005359F2"/>
    <w:rsid w:val="00536175"/>
    <w:rsid w:val="005405C6"/>
    <w:rsid w:val="005441B8"/>
    <w:rsid w:val="00544456"/>
    <w:rsid w:val="0055592E"/>
    <w:rsid w:val="00573769"/>
    <w:rsid w:val="005B4B19"/>
    <w:rsid w:val="005B6E71"/>
    <w:rsid w:val="005C45AF"/>
    <w:rsid w:val="005D2C0C"/>
    <w:rsid w:val="005E49A7"/>
    <w:rsid w:val="005E55FA"/>
    <w:rsid w:val="0060014C"/>
    <w:rsid w:val="00646181"/>
    <w:rsid w:val="00655DE9"/>
    <w:rsid w:val="00670EC7"/>
    <w:rsid w:val="00673696"/>
    <w:rsid w:val="00690FE7"/>
    <w:rsid w:val="006920F8"/>
    <w:rsid w:val="006A47EF"/>
    <w:rsid w:val="006B396B"/>
    <w:rsid w:val="006C15EF"/>
    <w:rsid w:val="006C3044"/>
    <w:rsid w:val="006C42B4"/>
    <w:rsid w:val="006C45A1"/>
    <w:rsid w:val="006C5A6B"/>
    <w:rsid w:val="006C676B"/>
    <w:rsid w:val="006D4515"/>
    <w:rsid w:val="006D7857"/>
    <w:rsid w:val="006E13FE"/>
    <w:rsid w:val="006E2BED"/>
    <w:rsid w:val="006E5DE8"/>
    <w:rsid w:val="0070110D"/>
    <w:rsid w:val="007014C6"/>
    <w:rsid w:val="00701D6E"/>
    <w:rsid w:val="00710A66"/>
    <w:rsid w:val="00717309"/>
    <w:rsid w:val="0073457D"/>
    <w:rsid w:val="00740382"/>
    <w:rsid w:val="00746B1A"/>
    <w:rsid w:val="0076546B"/>
    <w:rsid w:val="0077217A"/>
    <w:rsid w:val="00774E97"/>
    <w:rsid w:val="00786166"/>
    <w:rsid w:val="00795E8A"/>
    <w:rsid w:val="007A251A"/>
    <w:rsid w:val="007A563E"/>
    <w:rsid w:val="007A6CDC"/>
    <w:rsid w:val="007A7EE5"/>
    <w:rsid w:val="007C38A0"/>
    <w:rsid w:val="007C68F9"/>
    <w:rsid w:val="007C753D"/>
    <w:rsid w:val="007D5239"/>
    <w:rsid w:val="007D62ED"/>
    <w:rsid w:val="007E0704"/>
    <w:rsid w:val="007E52F6"/>
    <w:rsid w:val="007F16A7"/>
    <w:rsid w:val="007F309E"/>
    <w:rsid w:val="007F47E6"/>
    <w:rsid w:val="00805C31"/>
    <w:rsid w:val="00810805"/>
    <w:rsid w:val="008115B0"/>
    <w:rsid w:val="00812DBB"/>
    <w:rsid w:val="00821892"/>
    <w:rsid w:val="0084487E"/>
    <w:rsid w:val="00851C0E"/>
    <w:rsid w:val="008530FC"/>
    <w:rsid w:val="00863897"/>
    <w:rsid w:val="00872482"/>
    <w:rsid w:val="008730EF"/>
    <w:rsid w:val="00877272"/>
    <w:rsid w:val="00880621"/>
    <w:rsid w:val="008A20B1"/>
    <w:rsid w:val="008A46B6"/>
    <w:rsid w:val="008A6D2C"/>
    <w:rsid w:val="008B75D8"/>
    <w:rsid w:val="008C62D8"/>
    <w:rsid w:val="008D1951"/>
    <w:rsid w:val="008D2B5D"/>
    <w:rsid w:val="008D5AC2"/>
    <w:rsid w:val="0091157C"/>
    <w:rsid w:val="00915470"/>
    <w:rsid w:val="009161F9"/>
    <w:rsid w:val="0092290D"/>
    <w:rsid w:val="0093097E"/>
    <w:rsid w:val="00930D1F"/>
    <w:rsid w:val="0093152D"/>
    <w:rsid w:val="00980493"/>
    <w:rsid w:val="00984AE8"/>
    <w:rsid w:val="0098779F"/>
    <w:rsid w:val="00992EA8"/>
    <w:rsid w:val="009A1AC3"/>
    <w:rsid w:val="009A7EDC"/>
    <w:rsid w:val="009B396E"/>
    <w:rsid w:val="009C30E0"/>
    <w:rsid w:val="009C6FEB"/>
    <w:rsid w:val="009D0A84"/>
    <w:rsid w:val="009D7AF2"/>
    <w:rsid w:val="009E1D1A"/>
    <w:rsid w:val="009E6B80"/>
    <w:rsid w:val="009F04C8"/>
    <w:rsid w:val="009F611D"/>
    <w:rsid w:val="00A05C75"/>
    <w:rsid w:val="00A079FF"/>
    <w:rsid w:val="00A124F3"/>
    <w:rsid w:val="00A13569"/>
    <w:rsid w:val="00A139CB"/>
    <w:rsid w:val="00A15375"/>
    <w:rsid w:val="00A23A62"/>
    <w:rsid w:val="00A23CA1"/>
    <w:rsid w:val="00A24E46"/>
    <w:rsid w:val="00A42CA5"/>
    <w:rsid w:val="00A43BD4"/>
    <w:rsid w:val="00A50966"/>
    <w:rsid w:val="00A5174A"/>
    <w:rsid w:val="00A564C9"/>
    <w:rsid w:val="00A75221"/>
    <w:rsid w:val="00A977D8"/>
    <w:rsid w:val="00AB1AB4"/>
    <w:rsid w:val="00AB2E67"/>
    <w:rsid w:val="00AC39C3"/>
    <w:rsid w:val="00AD74A4"/>
    <w:rsid w:val="00AE216A"/>
    <w:rsid w:val="00B00A28"/>
    <w:rsid w:val="00B0513F"/>
    <w:rsid w:val="00B07BEA"/>
    <w:rsid w:val="00B24BB6"/>
    <w:rsid w:val="00B25686"/>
    <w:rsid w:val="00B37AA2"/>
    <w:rsid w:val="00B44AC0"/>
    <w:rsid w:val="00B6566A"/>
    <w:rsid w:val="00B6655B"/>
    <w:rsid w:val="00B7532B"/>
    <w:rsid w:val="00B76D6A"/>
    <w:rsid w:val="00B77CC2"/>
    <w:rsid w:val="00B80A1E"/>
    <w:rsid w:val="00B82991"/>
    <w:rsid w:val="00B9079E"/>
    <w:rsid w:val="00B93694"/>
    <w:rsid w:val="00B94FDB"/>
    <w:rsid w:val="00B9584D"/>
    <w:rsid w:val="00B9712C"/>
    <w:rsid w:val="00BC49E1"/>
    <w:rsid w:val="00BC6F95"/>
    <w:rsid w:val="00BD5614"/>
    <w:rsid w:val="00C12E88"/>
    <w:rsid w:val="00C21383"/>
    <w:rsid w:val="00C22A31"/>
    <w:rsid w:val="00C2468D"/>
    <w:rsid w:val="00C3001E"/>
    <w:rsid w:val="00C33292"/>
    <w:rsid w:val="00C34462"/>
    <w:rsid w:val="00C36438"/>
    <w:rsid w:val="00C376D0"/>
    <w:rsid w:val="00C41430"/>
    <w:rsid w:val="00C56110"/>
    <w:rsid w:val="00C61E69"/>
    <w:rsid w:val="00C65331"/>
    <w:rsid w:val="00C6645C"/>
    <w:rsid w:val="00C708AF"/>
    <w:rsid w:val="00C842E2"/>
    <w:rsid w:val="00C9511F"/>
    <w:rsid w:val="00C956D8"/>
    <w:rsid w:val="00C964B3"/>
    <w:rsid w:val="00CA29BB"/>
    <w:rsid w:val="00CB2A04"/>
    <w:rsid w:val="00CB484E"/>
    <w:rsid w:val="00CB5818"/>
    <w:rsid w:val="00CB775C"/>
    <w:rsid w:val="00CC47B0"/>
    <w:rsid w:val="00CD11F6"/>
    <w:rsid w:val="00CD26A5"/>
    <w:rsid w:val="00CD51A3"/>
    <w:rsid w:val="00CF0F1B"/>
    <w:rsid w:val="00D10157"/>
    <w:rsid w:val="00D30024"/>
    <w:rsid w:val="00D32D97"/>
    <w:rsid w:val="00D37811"/>
    <w:rsid w:val="00D45F00"/>
    <w:rsid w:val="00D470A0"/>
    <w:rsid w:val="00D53253"/>
    <w:rsid w:val="00D60A5C"/>
    <w:rsid w:val="00D62B02"/>
    <w:rsid w:val="00D73DBF"/>
    <w:rsid w:val="00D770D1"/>
    <w:rsid w:val="00D83AC3"/>
    <w:rsid w:val="00DA1E39"/>
    <w:rsid w:val="00DA4801"/>
    <w:rsid w:val="00DB2AF0"/>
    <w:rsid w:val="00DB2CC4"/>
    <w:rsid w:val="00DB34D4"/>
    <w:rsid w:val="00DB771A"/>
    <w:rsid w:val="00DD1DA7"/>
    <w:rsid w:val="00DE125D"/>
    <w:rsid w:val="00DF537A"/>
    <w:rsid w:val="00E243B1"/>
    <w:rsid w:val="00E42AC3"/>
    <w:rsid w:val="00E4571F"/>
    <w:rsid w:val="00E566B6"/>
    <w:rsid w:val="00E57891"/>
    <w:rsid w:val="00E60315"/>
    <w:rsid w:val="00E70A73"/>
    <w:rsid w:val="00E76BA7"/>
    <w:rsid w:val="00E779F8"/>
    <w:rsid w:val="00E81C74"/>
    <w:rsid w:val="00E8324D"/>
    <w:rsid w:val="00E93F9A"/>
    <w:rsid w:val="00E94F0A"/>
    <w:rsid w:val="00EA7D92"/>
    <w:rsid w:val="00EC18E0"/>
    <w:rsid w:val="00EC2BFF"/>
    <w:rsid w:val="00ED1101"/>
    <w:rsid w:val="00ED1350"/>
    <w:rsid w:val="00ED6D13"/>
    <w:rsid w:val="00EE7171"/>
    <w:rsid w:val="00EF03DA"/>
    <w:rsid w:val="00F06D92"/>
    <w:rsid w:val="00F152AD"/>
    <w:rsid w:val="00F22424"/>
    <w:rsid w:val="00F3701F"/>
    <w:rsid w:val="00F5186C"/>
    <w:rsid w:val="00F6099E"/>
    <w:rsid w:val="00F6384B"/>
    <w:rsid w:val="00F660EE"/>
    <w:rsid w:val="00F66852"/>
    <w:rsid w:val="00F70E7E"/>
    <w:rsid w:val="00F70FE0"/>
    <w:rsid w:val="00F711C0"/>
    <w:rsid w:val="00F9148E"/>
    <w:rsid w:val="00F96903"/>
    <w:rsid w:val="00F976AF"/>
    <w:rsid w:val="00F9776E"/>
    <w:rsid w:val="00FA277E"/>
    <w:rsid w:val="00FC331F"/>
    <w:rsid w:val="00FC6BF3"/>
    <w:rsid w:val="00FE197A"/>
    <w:rsid w:val="00FE53D2"/>
    <w:rsid w:val="00FE73DC"/>
    <w:rsid w:val="00FF0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CB484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CB484E"/>
    <w:rPr>
      <w:rFonts w:ascii="Times New Roman" w:hAnsi="Times New Roman"/>
    </w:rPr>
  </w:style>
  <w:style w:type="table" w:customStyle="1" w:styleId="TableGrid1">
    <w:name w:val="TableGrid1"/>
    <w:basedOn w:val="a1"/>
    <w:uiPriority w:val="39"/>
    <w:qFormat/>
    <w:rsid w:val="00CB484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CB484E"/>
    <w:pPr>
      <w:widowControl/>
      <w:wordWrap/>
      <w:autoSpaceDE/>
      <w:autoSpaceDN/>
      <w:spacing w:after="180"/>
    </w:pPr>
    <w:rPr>
      <w:rFonts w:eastAsia="SimSu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7512">
      <w:bodyDiv w:val="1"/>
      <w:marLeft w:val="0"/>
      <w:marRight w:val="0"/>
      <w:marTop w:val="0"/>
      <w:marBottom w:val="0"/>
      <w:divBdr>
        <w:top w:val="none" w:sz="0" w:space="0" w:color="auto"/>
        <w:left w:val="none" w:sz="0" w:space="0" w:color="auto"/>
        <w:bottom w:val="none" w:sz="0" w:space="0" w:color="auto"/>
        <w:right w:val="none" w:sz="0" w:space="0" w:color="auto"/>
      </w:divBdr>
    </w:div>
    <w:div w:id="248274626">
      <w:bodyDiv w:val="1"/>
      <w:marLeft w:val="0"/>
      <w:marRight w:val="0"/>
      <w:marTop w:val="0"/>
      <w:marBottom w:val="0"/>
      <w:divBdr>
        <w:top w:val="none" w:sz="0" w:space="0" w:color="auto"/>
        <w:left w:val="none" w:sz="0" w:space="0" w:color="auto"/>
        <w:bottom w:val="none" w:sz="0" w:space="0" w:color="auto"/>
        <w:right w:val="none" w:sz="0" w:space="0" w:color="auto"/>
      </w:divBdr>
    </w:div>
    <w:div w:id="344596203">
      <w:bodyDiv w:val="1"/>
      <w:marLeft w:val="0"/>
      <w:marRight w:val="0"/>
      <w:marTop w:val="0"/>
      <w:marBottom w:val="0"/>
      <w:divBdr>
        <w:top w:val="none" w:sz="0" w:space="0" w:color="auto"/>
        <w:left w:val="none" w:sz="0" w:space="0" w:color="auto"/>
        <w:bottom w:val="none" w:sz="0" w:space="0" w:color="auto"/>
        <w:right w:val="none" w:sz="0" w:space="0" w:color="auto"/>
      </w:divBdr>
    </w:div>
    <w:div w:id="430275265">
      <w:bodyDiv w:val="1"/>
      <w:marLeft w:val="0"/>
      <w:marRight w:val="0"/>
      <w:marTop w:val="0"/>
      <w:marBottom w:val="0"/>
      <w:divBdr>
        <w:top w:val="none" w:sz="0" w:space="0" w:color="auto"/>
        <w:left w:val="none" w:sz="0" w:space="0" w:color="auto"/>
        <w:bottom w:val="none" w:sz="0" w:space="0" w:color="auto"/>
        <w:right w:val="none" w:sz="0" w:space="0" w:color="auto"/>
      </w:divBdr>
    </w:div>
    <w:div w:id="733117869">
      <w:bodyDiv w:val="1"/>
      <w:marLeft w:val="0"/>
      <w:marRight w:val="0"/>
      <w:marTop w:val="0"/>
      <w:marBottom w:val="0"/>
      <w:divBdr>
        <w:top w:val="none" w:sz="0" w:space="0" w:color="auto"/>
        <w:left w:val="none" w:sz="0" w:space="0" w:color="auto"/>
        <w:bottom w:val="none" w:sz="0" w:space="0" w:color="auto"/>
        <w:right w:val="none" w:sz="0" w:space="0" w:color="auto"/>
      </w:divBdr>
    </w:div>
    <w:div w:id="113345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F7C1-04F8-4107-95FC-315ED38D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5590</Words>
  <Characters>31868</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11</cp:revision>
  <dcterms:created xsi:type="dcterms:W3CDTF">2026-01-29T10:23:00Z</dcterms:created>
  <dcterms:modified xsi:type="dcterms:W3CDTF">2026-01-30T02:02:00Z</dcterms:modified>
</cp:coreProperties>
</file>